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EB" w:rsidRPr="00916276" w:rsidRDefault="003400EB" w:rsidP="003400EB">
      <w:pPr>
        <w:pStyle w:val="NormalWeb"/>
        <w:bidi/>
        <w:rPr>
          <w:rFonts w:asciiTheme="minorHAnsi" w:hAnsiTheme="minorHAnsi" w:cstheme="minorHAnsi" w:hint="cs"/>
          <w:sz w:val="40"/>
          <w:szCs w:val="40"/>
          <w:highlight w:val="yellow"/>
          <w:rtl/>
          <w:lang w:bidi="fa-IR"/>
        </w:rPr>
      </w:pPr>
      <w:r w:rsidRPr="00916276">
        <w:rPr>
          <w:rFonts w:asciiTheme="minorHAnsi" w:hAnsiTheme="minorHAnsi" w:cstheme="minorHAnsi" w:hint="cs"/>
          <w:sz w:val="40"/>
          <w:szCs w:val="40"/>
          <w:highlight w:val="yellow"/>
          <w:rtl/>
          <w:lang w:bidi="fa-IR"/>
        </w:rPr>
        <w:t xml:space="preserve">4شنبه 3/5/1403-18محرم الحرام 1446- 24ژولای 2024-درس 172فقه توانمندسازی </w:t>
      </w:r>
      <w:r w:rsidRPr="00916276">
        <w:rPr>
          <w:rFonts w:asciiTheme="minorHAnsi" w:hAnsiTheme="minorHAnsi" w:cstheme="minorHAnsi"/>
          <w:sz w:val="40"/>
          <w:szCs w:val="40"/>
          <w:highlight w:val="yellow"/>
          <w:rtl/>
          <w:lang w:bidi="fa-IR"/>
        </w:rPr>
        <w:t>–</w:t>
      </w:r>
      <w:r w:rsidRPr="00916276">
        <w:rPr>
          <w:rFonts w:asciiTheme="minorHAnsi" w:hAnsiTheme="minorHAnsi" w:cstheme="minorHAnsi" w:hint="cs"/>
          <w:sz w:val="40"/>
          <w:szCs w:val="40"/>
          <w:highlight w:val="yellow"/>
          <w:rtl/>
          <w:lang w:bidi="fa-IR"/>
        </w:rPr>
        <w:t xml:space="preserve"> شرائط توانمندساز</w:t>
      </w:r>
    </w:p>
    <w:p w:rsidR="003400EB" w:rsidRPr="00916276" w:rsidRDefault="003400EB" w:rsidP="003400EB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916276">
        <w:rPr>
          <w:rFonts w:asciiTheme="minorHAnsi" w:hAnsiTheme="minorHAnsi" w:cstheme="minorHAnsi" w:hint="cs"/>
          <w:sz w:val="40"/>
          <w:szCs w:val="40"/>
          <w:rtl/>
          <w:lang w:bidi="fa-IR"/>
        </w:rPr>
        <w:t>مساله :</w:t>
      </w:r>
    </w:p>
    <w:p w:rsidR="003400EB" w:rsidRPr="00916276" w:rsidRDefault="003400EB" w:rsidP="003400EB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916276">
        <w:rPr>
          <w:rFonts w:asciiTheme="minorHAnsi" w:hAnsiTheme="minorHAnsi" w:cstheme="minorHAnsi" w:hint="cs"/>
          <w:sz w:val="40"/>
          <w:szCs w:val="40"/>
          <w:rtl/>
          <w:lang w:bidi="fa-IR"/>
        </w:rPr>
        <w:t>شرح مساله :</w:t>
      </w:r>
    </w:p>
    <w:p w:rsidR="003400EB" w:rsidRPr="00916276" w:rsidRDefault="003400EB" w:rsidP="003400EB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916276">
        <w:rPr>
          <w:rFonts w:asciiTheme="minorHAnsi" w:hAnsiTheme="minorHAnsi" w:cstheme="minorHAnsi"/>
          <w:sz w:val="40"/>
          <w:szCs w:val="40"/>
          <w:highlight w:val="yellow"/>
          <w:rtl/>
          <w:lang w:bidi="fa-IR"/>
        </w:rPr>
        <w:t>بحث روائي‏</w:t>
      </w:r>
      <w:r w:rsidRPr="00916276">
        <w:rPr>
          <w:rStyle w:val="FootnoteReference"/>
          <w:rFonts w:asciiTheme="minorHAnsi" w:hAnsiTheme="minorHAnsi" w:cstheme="minorHAnsi"/>
          <w:sz w:val="40"/>
          <w:szCs w:val="40"/>
          <w:highlight w:val="yellow"/>
          <w:rtl/>
          <w:lang w:bidi="fa-IR"/>
        </w:rPr>
        <w:footnoteReference w:id="1"/>
      </w:r>
      <w:r w:rsidRPr="00916276">
        <w:rPr>
          <w:rFonts w:asciiTheme="minorHAnsi" w:hAnsiTheme="minorHAnsi" w:cstheme="minorHAnsi" w:hint="cs"/>
          <w:sz w:val="40"/>
          <w:szCs w:val="40"/>
          <w:highlight w:val="yellow"/>
          <w:rtl/>
          <w:lang w:bidi="fa-IR"/>
        </w:rPr>
        <w:t>(فقه الحدیث)</w:t>
      </w:r>
    </w:p>
    <w:p w:rsidR="003400EB" w:rsidRDefault="003400EB" w:rsidP="00926B8B">
      <w:pPr>
        <w:pStyle w:val="NormalWeb"/>
        <w:bidi/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</w:pPr>
    </w:p>
    <w:p w:rsidR="005B75F4" w:rsidRDefault="005B75F4" w:rsidP="00010EB6">
      <w:pPr>
        <w:pStyle w:val="NormalWeb"/>
        <w:bidi/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</w:pPr>
      <w:r w:rsidRPr="001839CC">
        <w:rPr>
          <w:rStyle w:val="FootnoteReference"/>
          <w:rFonts w:asciiTheme="minorHAnsi" w:hAnsiTheme="minorHAnsi" w:cstheme="minorHAnsi"/>
          <w:color w:val="242887"/>
          <w:sz w:val="40"/>
          <w:szCs w:val="40"/>
          <w:rtl/>
          <w:lang w:bidi="fa-IR"/>
        </w:rPr>
        <w:footnoteReference w:id="2"/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-</w:t>
      </w: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 xml:space="preserve"> الْبُرْسِيُّ: بِالْإِسْنَادِ، يَرْفَعُهُ إِلَى الْمِقْدَادِ بْنِ الْأَسْوَدِ الْكِنْدِيِّ (رَضِيَ اللَّهُ عَنْهُ)، قَالَ: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كُنَّا مَعَ رَسُولِ اللَّهِ (صَلَّى اللَّهُ عَلَيْهِ وَ آلِهِ) وَ هُوَ مُتَعَلِّقٌ بِأَسْتَارِ الْكَعْبَةِ، وَ يَقُولُ: «اللَّهُمَّ اعْضُدْنِي، وَ اشْدُدْ أَزْرِي، وَ اشْرَحْ لِي صَدْرِي، وَ ارْفَعْ‏</w:t>
      </w:r>
      <w:r w:rsidR="00926B8B"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ذِكْرِي» 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lastRenderedPageBreak/>
        <w:t>فَنَزَلَ عَلَيْهِ جَبْرَئِيلُ (عَلَيْهِ السَّلَامُ)، وَ قَالَ: اقْرَأْ يَا مُحَمَّدُ</w:t>
      </w:r>
      <w:r w:rsidRPr="001839CC">
        <w:rPr>
          <w:rFonts w:asciiTheme="minorHAnsi" w:hAnsiTheme="minorHAnsi" w:cstheme="minorHAnsi"/>
          <w:color w:val="02802C"/>
          <w:sz w:val="40"/>
          <w:szCs w:val="40"/>
          <w:rtl/>
          <w:lang w:bidi="fa-IR"/>
        </w:rPr>
        <w:t xml:space="preserve"> أَ لَمْ نَشْرَحْ لَكَ صَدْرَكَ‏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يَا مُحَمَّدُ</w:t>
      </w:r>
      <w:r w:rsidRPr="001839CC">
        <w:rPr>
          <w:rFonts w:asciiTheme="minorHAnsi" w:hAnsiTheme="minorHAnsi" w:cstheme="minorHAnsi"/>
          <w:color w:val="02802C"/>
          <w:sz w:val="40"/>
          <w:szCs w:val="40"/>
          <w:rtl/>
          <w:lang w:bidi="fa-IR"/>
        </w:rPr>
        <w:t xml:space="preserve"> وَ وَضَعْنا عَنْكَ وِزْرَكَ* الَّذِي أَنْقَضَ ظَهْرَكَ* وَ رَفَعْنا لَكَ ذِكْرَكَ‏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بِعَلِيٍّ صِهْرِكَ. قَالَ: فَقَرَأَهَا النَّبِيُّ (صَلَّى اللَّهُ عَلَيْهِ وَ آلِهِ). وَ أَثْبَتَهَا ابْنُ مَسْعُودٍ، وَ انْتَقَصَهَا</w:t>
      </w:r>
      <w:r w:rsidRPr="001839CC">
        <w:rPr>
          <w:rStyle w:val="FootnoteReference"/>
          <w:rFonts w:asciiTheme="minorHAnsi" w:hAnsiTheme="minorHAnsi" w:cstheme="minorHAnsi"/>
          <w:color w:val="242887"/>
          <w:sz w:val="40"/>
          <w:szCs w:val="40"/>
          <w:rtl/>
          <w:lang w:bidi="fa-IR"/>
        </w:rPr>
        <w:footnoteReference w:id="3"/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عُثْمَانُ.</w:t>
      </w:r>
      <w:r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4"/>
      </w:r>
    </w:p>
    <w:p w:rsidR="00AA6C68" w:rsidRPr="001839CC" w:rsidRDefault="00AA6C68" w:rsidP="00AA6C68">
      <w:pPr>
        <w:pStyle w:val="NormalWeb"/>
        <w:bidi/>
        <w:rPr>
          <w:rFonts w:asciiTheme="minorHAnsi" w:hAnsiTheme="minorHAnsi" w:cstheme="minorHAnsi"/>
          <w:sz w:val="40"/>
          <w:szCs w:val="40"/>
          <w:lang w:bidi="fa-IR"/>
        </w:rPr>
      </w:pPr>
      <w:r>
        <w:rPr>
          <w:rFonts w:asciiTheme="minorHAnsi" w:hAnsiTheme="minorHAnsi" w:cstheme="minorHAnsi" w:hint="cs"/>
          <w:color w:val="242887"/>
          <w:sz w:val="40"/>
          <w:szCs w:val="40"/>
          <w:rtl/>
          <w:lang w:bidi="fa-IR"/>
        </w:rPr>
        <w:t xml:space="preserve"> اقول:</w:t>
      </w:r>
      <w:r w:rsidR="002D2A4F">
        <w:rPr>
          <w:rFonts w:asciiTheme="minorHAnsi" w:hAnsiTheme="minorHAnsi" w:cstheme="minorHAnsi" w:hint="cs"/>
          <w:color w:val="242887"/>
          <w:sz w:val="40"/>
          <w:szCs w:val="40"/>
          <w:rtl/>
          <w:lang w:bidi="fa-IR"/>
        </w:rPr>
        <w:t>خدای توانمندساز طبق مدلول این خبر خواسته مربوب و منصوب خود را اصلاح وحیانی و ربانی میکند  زبان مطالبه او را به لسان اعطآئ توان بدون مطالبه بدل میکند که موید فتوای ماست .</w:t>
      </w:r>
    </w:p>
    <w:p w:rsidR="005B75F4" w:rsidRPr="001839CC" w:rsidRDefault="00010EB6" w:rsidP="001839CC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>
        <w:rPr>
          <w:rFonts w:asciiTheme="minorHAnsi" w:hAnsiTheme="minorHAnsi" w:cstheme="minorHAnsi" w:hint="cs"/>
          <w:color w:val="000000"/>
          <w:sz w:val="40"/>
          <w:szCs w:val="40"/>
          <w:rtl/>
          <w:lang w:bidi="fa-IR"/>
        </w:rPr>
        <w:t xml:space="preserve">        </w:t>
      </w:r>
      <w:r w:rsidR="005B75F4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و في بعض الروايات عن أئمة أهل البيت (ع) أن الضحى و أ لم نشرح سورةواحدة، و يروى ذلك أيضا عن طاووس و عمر بن عبد العزيز قال الرازي في التفسير الكبير بعد نقله عنهما و الذي دعاهما إلى ذلك هو أن قوله تعالى: «</w:t>
      </w:r>
      <w:r w:rsidR="005B75F4" w:rsidRPr="001839CC">
        <w:rPr>
          <w:rFonts w:asciiTheme="minorHAnsi" w:hAnsiTheme="minorHAnsi" w:cstheme="minorHAnsi"/>
          <w:color w:val="02802C"/>
          <w:sz w:val="40"/>
          <w:szCs w:val="40"/>
          <w:rtl/>
          <w:lang w:bidi="fa-IR"/>
        </w:rPr>
        <w:t>أَ لَمْ نَشْرَحْ لَكَ‏</w:t>
      </w:r>
      <w:r w:rsidR="005B75F4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» كالعطف على قوله: «</w:t>
      </w:r>
      <w:r w:rsidR="005B75F4" w:rsidRPr="001839CC">
        <w:rPr>
          <w:rFonts w:asciiTheme="minorHAnsi" w:hAnsiTheme="minorHAnsi" w:cstheme="minorHAnsi"/>
          <w:color w:val="006A0F"/>
          <w:sz w:val="40"/>
          <w:szCs w:val="40"/>
          <w:rtl/>
          <w:lang w:bidi="fa-IR"/>
        </w:rPr>
        <w:t>أَ لَمْ يَجِدْكَ يَتِيماً</w:t>
      </w:r>
      <w:r w:rsidR="005B75F4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» و ليس كذلك لأن الأول كان نزوله حال اغتمام الرسول ص من إيذاء الكفار فكانت حال محنة و ضيق صدر، و الثاني يقتضي أن يكون حال النزول منشرح الصدر طيب القلب فأنى يجتمعان انتهى.</w:t>
      </w:r>
    </w:p>
    <w:p w:rsidR="005B75F4" w:rsidRPr="001839CC" w:rsidRDefault="005B75F4" w:rsidP="005B75F4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و فيه أن المراد بشرح صدره (ص) في الآية جعله بحيث يسع ما يلقى إليه من الحقائق و لا يضيق بما ينزل عليه من المعارف و ما يصيبه من أذى الناس في تبليغها كما سيجي‏ء لا طيب القلب و السرور كما فسره.</w:t>
      </w:r>
    </w:p>
    <w:p w:rsidR="005B75F4" w:rsidRPr="001839CC" w:rsidRDefault="005B75F4" w:rsidP="005B75F4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 xml:space="preserve">ما </w:t>
      </w:r>
      <w:r w:rsidR="001839CC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‏</w:t>
      </w:r>
      <w:r w:rsidR="001839CC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5"/>
      </w:r>
      <w:r w:rsidR="001839CC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رواه ابن أبي حاتم عن سعيد بن جبير عن ابن عباس قال*: قال رسول الله ص: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لقد سألت ربي مسألة وددت أني لم أسأله- قلت: أي رب أنه قد 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lastRenderedPageBreak/>
        <w:t>كان أنبياء قبلي منهم- من سخرت له الريح- و منهم من كان يحيي الموتى. قال: فقال: أ لم أجدك يتيما فآويتك؟ قال: قلت: بلى- قال: أ لم أجدك ضالا فهديتك؟ قال: قلت:</w:t>
      </w:r>
    </w:p>
    <w:p w:rsidR="001839CC" w:rsidRPr="001839CC" w:rsidRDefault="005B75F4" w:rsidP="001839CC">
      <w:pPr>
        <w:pStyle w:val="NormalWeb"/>
        <w:bidi/>
        <w:rPr>
          <w:rFonts w:asciiTheme="minorHAnsi" w:hAnsiTheme="minorHAnsi" w:cstheme="minorHAnsi"/>
          <w:sz w:val="40"/>
          <w:szCs w:val="40"/>
          <w:lang w:bidi="fa-IR"/>
        </w:rPr>
      </w:pP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بلى أي رب. قال: أ لم أشرح لك صدرك و وضعت عنك وزرك؟ قال: قلت: بلى أي رب‏</w:t>
      </w:r>
      <w:r w:rsidR="00926B8B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6"/>
      </w:r>
      <w:r w:rsidR="00926B8B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</w:p>
    <w:p w:rsidR="005B75F4" w:rsidRPr="001839CC" w:rsidRDefault="005B75F4" w:rsidP="00926B8B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في الدر المنثور، أخرج عبد الله بن أحمد في زوائد الزهد عن أبي بن كعب‏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* أن أبا هريرة قال: يا رسول الله ما أول ما رأيت من أمر النبوة؟ فاستوى رسول الله ص جالسا و قال: لقد سألت أبا هريرة- إني لفي صحراء ابن عشرين سنة و أشهرا- إذا بكلام فوق رأسي و إذا رجل يقول لرجل: أ هو هو؟ فاستقبلاني بوجوه لم أرها لخلق قط، و أرواح لم أجدها في خلق قط- و ثياب لم أجدها على أحد قط- فأقبلا إلي يمشيان حتى أخذ كل واحد منهما بعضدي- لا أجد لأحدهما مسا.فقال أحدهما لصاحبه: أضجعه فأضجعني بلا قصر و لا هصر- فقال أحدهما: أفلق صدره فحوى أحدهما إلى صدري- ففلقه فيما أرى بلا دم و لا وجع- فقال له: أخرج الغل و الحسد- فأخرج شيئا كهيئة العلقة ثم نبذها فطرحها- فقال له: أدخل الرأفة و الرحمة- فإذا مثل الذي أخرج شبه الفضة- ثم هز إبهام رجلي اليمنى و قال: اغد و أسلم- فرجعت بها أغدو بها رقة على الصغير و رحمة للكبير.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7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</w:p>
    <w:p w:rsidR="005B75F4" w:rsidRPr="001839CC" w:rsidRDefault="005B75F4" w:rsidP="00942A14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أقول: و في نقل بعضهم- كما في روح المعاني،- ابن عشر حجج مكان قوله: ابن عشرين سنة و أشهرا، و في بعض الروايات نقل القصة عند نزول سورة اقرأ باسم ربك و في بعضها كما في صحيح البخاري و مسلم و الترمذي و النسائي نقل القصة عند إسراء النبي.</w:t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‏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8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9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و</w:t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‏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10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و </w:t>
      </w:r>
      <w:r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و القصة على أي حال من </w:t>
      </w:r>
      <w:r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lastRenderedPageBreak/>
        <w:t>قبيل التمثل بلا إشكال، و قد أطالوا البحث في توجيه ماتتضمنه على أنها واقعة مادية فتمحلوا بوجوه لا جدوى في التعرض لها بعد فساد أصلها.</w:t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11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  <w:bookmarkStart w:id="0" w:name="_GoBack"/>
      <w:bookmarkEnd w:id="0"/>
    </w:p>
    <w:p w:rsidR="005B75F4" w:rsidRPr="001839CC" w:rsidRDefault="005B75F4" w:rsidP="00312032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و فيه، أخرج أبو يعلى و ابن جرير و ابن المنذر و ابن أبي حاتم و ابن حبان و ابن مردويه و أبو نعيم في الدلائل عن أبي سعيد الخدري عن رسول الله ص قال*: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أتاني جبرئيل فقال:إن ربك يقول: تدري كيف رفعت ذكرك؟ قلت: الله أعلم- قال: إذا ذكرت ذكرت معي.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12"/>
      </w:r>
      <w:r w:rsidR="00312032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>.</w:t>
      </w:r>
    </w:p>
    <w:p w:rsidR="005B75F4" w:rsidRPr="001839CC" w:rsidRDefault="005B75F4" w:rsidP="005B75F4">
      <w:pPr>
        <w:pStyle w:val="NormalWeb"/>
        <w:bidi/>
        <w:rPr>
          <w:rFonts w:asciiTheme="minorHAnsi" w:hAnsiTheme="minorHAnsi" w:cstheme="minorHAnsi"/>
          <w:sz w:val="40"/>
          <w:szCs w:val="40"/>
          <w:rtl/>
          <w:lang w:bidi="fa-IR"/>
        </w:rPr>
      </w:pP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و فيه، أخرج عبد الرزاق و ابن جرير و الحاكم و البيهقي عن الحسن قال*: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خرج النبي ص يوما مسرورا و هو يضحك و يقول: لن يغلب عسر يسرين «</w:t>
      </w:r>
      <w:r w:rsidRPr="001839CC">
        <w:rPr>
          <w:rFonts w:asciiTheme="minorHAnsi" w:hAnsiTheme="minorHAnsi" w:cstheme="minorHAnsi"/>
          <w:color w:val="02802C"/>
          <w:sz w:val="40"/>
          <w:szCs w:val="40"/>
          <w:rtl/>
          <w:lang w:bidi="fa-IR"/>
        </w:rPr>
        <w:t>فَإِنَّ مَعَ الْعُسْرِ يُسْراً إِنَّ مَعَ الْعُسْرِ يُسْراً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».</w:t>
      </w:r>
      <w:r w:rsidR="00312032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13"/>
      </w:r>
    </w:p>
    <w:p w:rsidR="001839CC" w:rsidRPr="00010EB6" w:rsidRDefault="005B75F4" w:rsidP="00010EB6">
      <w:pPr>
        <w:pStyle w:val="NormalWeb"/>
        <w:bidi/>
        <w:rPr>
          <w:rFonts w:asciiTheme="minorHAnsi" w:hAnsiTheme="minorHAnsi" w:cstheme="minorHAnsi"/>
          <w:sz w:val="40"/>
          <w:szCs w:val="40"/>
          <w:lang w:bidi="fa-IR"/>
        </w:rPr>
      </w:pP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و في المجمع،: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 xml:space="preserve"> في قوله تعالى: «</w:t>
      </w:r>
      <w:r w:rsidRPr="001839CC">
        <w:rPr>
          <w:rFonts w:asciiTheme="minorHAnsi" w:hAnsiTheme="minorHAnsi" w:cstheme="minorHAnsi"/>
          <w:color w:val="02802C"/>
          <w:sz w:val="40"/>
          <w:szCs w:val="40"/>
          <w:rtl/>
          <w:lang w:bidi="fa-IR"/>
        </w:rPr>
        <w:t>فَإِذا فَرَغْتَ فَانْصَبْ وَ إِلى‏ رَبِّكَ فَارْغَبْ‏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» معناه فإذا فرغت من الصلاة المكتوبة- فانصب إلى ربك في الدعاء و ارغب إليه في المسألة:. قال:</w:t>
      </w:r>
      <w:r w:rsidRPr="001839CC">
        <w:rPr>
          <w:rFonts w:asciiTheme="minorHAnsi" w:hAnsiTheme="minorHAnsi" w:cstheme="minorHAnsi"/>
          <w:color w:val="780000"/>
          <w:sz w:val="40"/>
          <w:szCs w:val="40"/>
          <w:rtl/>
          <w:lang w:bidi="fa-IR"/>
        </w:rPr>
        <w:t>و هو المروي عن أبي جعفر و أبي عبد الله (ع)</w:t>
      </w:r>
      <w:r w:rsidRPr="001839CC">
        <w:rPr>
          <w:rFonts w:asciiTheme="minorHAnsi" w:hAnsiTheme="minorHAnsi" w:cstheme="minorHAnsi"/>
          <w:color w:val="242887"/>
          <w:sz w:val="40"/>
          <w:szCs w:val="40"/>
          <w:rtl/>
          <w:lang w:bidi="fa-IR"/>
        </w:rPr>
        <w:t>.</w:t>
      </w:r>
      <w:r w:rsidR="001839CC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1839CC" w:rsidRPr="001839CC">
        <w:rPr>
          <w:rStyle w:val="FootnoteReference"/>
          <w:rFonts w:asciiTheme="minorHAnsi" w:hAnsiTheme="minorHAnsi" w:cstheme="minorHAnsi"/>
          <w:color w:val="000000"/>
          <w:sz w:val="40"/>
          <w:szCs w:val="40"/>
          <w:rtl/>
          <w:lang w:bidi="fa-IR"/>
        </w:rPr>
        <w:footnoteReference w:id="14"/>
      </w:r>
      <w:r w:rsidR="00926B8B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 </w:t>
      </w:r>
      <w:r w:rsidR="00926B8B" w:rsidRPr="001839CC">
        <w:rPr>
          <w:rFonts w:asciiTheme="minorHAnsi" w:hAnsiTheme="minorHAnsi" w:cstheme="minorHAnsi"/>
          <w:color w:val="000000"/>
          <w:sz w:val="40"/>
          <w:szCs w:val="40"/>
          <w:rtl/>
          <w:lang w:bidi="fa-IR"/>
        </w:rPr>
        <w:t xml:space="preserve">، </w:t>
      </w:r>
      <w:r w:rsidRPr="001839CC">
        <w:rPr>
          <w:rStyle w:val="FootnoteReference"/>
          <w:rFonts w:asciiTheme="minorHAnsi" w:hAnsiTheme="minorHAnsi" w:cstheme="minorHAnsi"/>
          <w:color w:val="465BFF"/>
          <w:sz w:val="40"/>
          <w:szCs w:val="40"/>
          <w:rtl/>
          <w:lang w:bidi="fa-IR"/>
        </w:rPr>
        <w:footnoteReference w:id="15"/>
      </w:r>
    </w:p>
    <w:p w:rsidR="002625C5" w:rsidRPr="001839CC" w:rsidRDefault="002625C5">
      <w:pPr>
        <w:rPr>
          <w:rFonts w:cstheme="minorHAnsi"/>
          <w:sz w:val="40"/>
          <w:szCs w:val="40"/>
          <w:rtl/>
          <w:lang w:bidi="fa-IR"/>
        </w:rPr>
      </w:pPr>
    </w:p>
    <w:sectPr w:rsidR="002625C5" w:rsidRPr="00183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C4" w:rsidRDefault="00A84FC4" w:rsidP="005B75F4">
      <w:pPr>
        <w:spacing w:after="0" w:line="240" w:lineRule="auto"/>
      </w:pPr>
      <w:r>
        <w:separator/>
      </w:r>
    </w:p>
  </w:endnote>
  <w:endnote w:type="continuationSeparator" w:id="0">
    <w:p w:rsidR="00A84FC4" w:rsidRDefault="00A84FC4" w:rsidP="005B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C4" w:rsidRDefault="00A84FC4" w:rsidP="005B75F4">
      <w:pPr>
        <w:spacing w:after="0" w:line="240" w:lineRule="auto"/>
      </w:pPr>
      <w:r>
        <w:separator/>
      </w:r>
    </w:p>
  </w:footnote>
  <w:footnote w:type="continuationSeparator" w:id="0">
    <w:p w:rsidR="00A84FC4" w:rsidRDefault="00A84FC4" w:rsidP="005B75F4">
      <w:pPr>
        <w:spacing w:after="0" w:line="240" w:lineRule="auto"/>
      </w:pPr>
      <w:r>
        <w:continuationSeparator/>
      </w:r>
    </w:p>
  </w:footnote>
  <w:footnote w:id="1"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raditional Arabic" w:cs="Traditional Arabic" w:hint="cs"/>
          <w:color w:val="465BFF"/>
          <w:sz w:val="30"/>
          <w:szCs w:val="30"/>
          <w:rtl/>
          <w:lang w:bidi="fa-IR"/>
        </w:rPr>
        <w:t>بحث روايتى [ (رواياتى متضمن تمثيلى حاكى از شكافته شدن سينه پيامبر (صلى اللَّه عليه و آله و سلم) و تبديل قلب او و رواياتى ديگر در ذيل آيات گذشته)]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در الدر المنثور است كه عبد اللَّه بن احمد در كتاب" زوائد الزهد"، از ابى بن كعب روايت كرده كه گفت: ابو هريره از رسول خدا (ص) پرسيد اولين چيزى كه از امر نبوت ديدى چه بود؟ رسول خدا (ص) خود را جمع و جور كرد و نشست، و فرمود: اى ابو هريره (خوب) سؤالى كردى، من در صحرا بودم در حالى كه بيست سال و چند ماه از عمرم گذشته بود، ناگهان از بالاى سرم سخنى شنيدم، به بالا نظر كردم مردى را ديدم كه از مردى ديگر مى‏پرسيد، آيا اين همان است؟ آن گاه هر دو به طرفم آمدند، با چهره‏هايى كه نظير آن را هرگز در خلق نديده بودم، و ارواحى كه در خلق هيچ چنين چيزهايى نديده بودم، و نيز جامه‏هايى كه در خلق بر تن احدى نديده بودم، آن دو نفر نزديك من مى‏آمدند، و آن قدر جلو آمدند كه هر كدام يك بازوى مرا گرفت، ولى من احساس تماس دست آنها بابازويم را نمى‏كردم.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در اين حال يكى به ديگرى گفت بخوابانش و او بدون فشار و يا كشيدن مرا خوابانيد، پس يكى به ديگرى گفت: سينه‏اش را بشكاف، پس آن ديگرى سينه‏ام را گرفت آن را شكافت، و تا آنجا كه خودم مى‏ديدم خونى و دردى مشاهده نكردم، پس آن ديگرى به وى گفت: كينه و حسد را در آور، و او چيزى بشكل لخته خون در آورده بيرون انداخت، باز آن ديگرى گفت رافت و رحمت را در جاى آن بگذار، و او چيزى به شكل نقره در همانجاى دلم گذاشت، آن گاه انگشت ابهام دست راستم را تكان داد و گفت برو به سلامت. من برگشتم در حالى كه احساس كردم كه نسبت به اطفال رقت، و نسبت به بزرگسالان رحمت داشتم‏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مؤلف: و در نقل بعضى از ناقلان- از قبيل نقلى كه در روح المعانى آمده- كه:" من ده‏ساله بودم" بجاى" بيست سال و چند ماه"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بعضى‏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روايات آمده كه اين قصه در هنگام نزول سوره‏</w:t>
      </w:r>
      <w:r>
        <w:rPr>
          <w:rFonts w:ascii="Traditional Arabic" w:cs="Traditional Arabic" w:hint="cs"/>
          <w:color w:val="006A0F"/>
          <w:sz w:val="30"/>
          <w:szCs w:val="30"/>
          <w:rtl/>
          <w:lang w:bidi="fa-IR"/>
        </w:rPr>
        <w:t>" اقْرَأْ بِاسْمِ رَبِّكَ ..."</w:t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واقع شده كه آن جناب چهل‏ساله بوده.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بعضى‏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ديگر نظير آنچه در صحيح بخارى‏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و مسلم و ترمذى و نسايى نقل شده آمده كه اين قصه در شب معراج اتفاق افتاده.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به هر حال بدون اشكال اين قصه جنبه تمثيل دارد، و دانشمندان اسلامى بحث‏هايى طولانى پيرامون مفاد اين روايات كرده‏اند كه همه اين بحث‏ها بر اساس اين پندار است كه جريان يك جريان مادى و يك برخورد مادى بوده، و به همين جهت وجوهى را ذكر كرده‏اند كه چون اصل و اساس بحث باطل بود از نقل آن وجوه خوددارى كرديم.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ابو يعلى، ابن جرير، ابن منذر، ابن ابى حاتم، ابن حبان، ابن مردويه، و ابو نعيم (در كتاب دلائل)، همگى از ابى سعيد خدرى از رسول خدا (ص) روايت كرده‏اند كه فرمود: جبرئيل نزد من آمد و گفت: پروردگارت مى‏فرمايد: هيچ مى‏دانى چگونه نامت را بلند آواز كردم؟ عرضه داشتم خدا بهتر مى‏داند.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گفت پروردگارت مى‏فرمايد: از اين راه كه هر وقت نام من برده شود نامت با نام من ذكر شود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3400EB" w:rsidRDefault="003400EB" w:rsidP="003400EB">
      <w:pPr>
        <w:bidi/>
        <w:rPr>
          <w:rFonts w:ascii="Times New Roman" w:cs="Times New Roman" w:hint="cs"/>
          <w:sz w:val="24"/>
          <w:szCs w:val="24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همان كتاب است كه عبد الرزاق، ابن جرير، حاكم و بيهقى، از حسن روايت كرده‏اند كه گفت: رسول خدا (ص) روزى خوشحال و خندان از خانه بيرون مى‏آمد و مى‏فرمود: هرگز يك" عسر" حريف دو" يسر" نمى‏شود،"</w:t>
      </w:r>
      <w:r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 xml:space="preserve"> إِنَّ مَعَ الْعُسْرِ يُسْراً</w:t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"،</w:t>
      </w:r>
      <w:r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>" إِنَّ مَعَ الْعُسْرِ يُسْراً"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3400EB" w:rsidRDefault="003400EB" w:rsidP="003400EB">
      <w:pPr>
        <w:pStyle w:val="NormalWeb"/>
        <w:bidi/>
        <w:rPr>
          <w:rFonts w:hint="cs"/>
          <w:rtl/>
          <w:lang w:bidi="fa-IR"/>
        </w:rPr>
      </w:pP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و در مجمع البيان در ذيل آيه‏</w:t>
      </w:r>
      <w:r>
        <w:rPr>
          <w:rFonts w:ascii="Traditional Arabic" w:cs="Traditional Arabic" w:hint="cs"/>
          <w:color w:val="02802C"/>
          <w:sz w:val="30"/>
          <w:szCs w:val="30"/>
          <w:rtl/>
          <w:lang w:bidi="fa-IR"/>
        </w:rPr>
        <w:t>" فَإِذا فَرَغْتَ فَانْصَبْ وَ إِلى‏ رَبِّكَ فَارْغَبْ"</w:t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 xml:space="preserve"> مى‏گويد معنايش اين است كه وقتى از نماز واجب بپرداختى، برخيز و در برابر پروردگارت به دعا بايست، و با رغبت از او درخواست كن. آن گاه صاحب مجمع البيان مى‏گويد: اين معنا از امام باقر و امام صادق (عليهما السلام) نقل شده‏</w:t>
      </w:r>
      <w:r>
        <w:rPr>
          <w:rStyle w:val="FootnoteReference"/>
          <w:rFonts w:ascii="Traditional Arabic" w:cs="Traditional Arabic"/>
          <w:color w:val="000000"/>
          <w:sz w:val="30"/>
          <w:szCs w:val="30"/>
          <w:rtl/>
          <w:lang w:bidi="fa-IR"/>
        </w:rPr>
        <w:footnoteRef/>
      </w:r>
      <w:r>
        <w:rPr>
          <w:rFonts w:ascii="Traditional Arabic" w:cs="Traditional Arabic" w:hint="cs"/>
          <w:color w:val="000000"/>
          <w:sz w:val="30"/>
          <w:szCs w:val="30"/>
          <w:rtl/>
          <w:lang w:bidi="fa-IR"/>
        </w:rPr>
        <w:t>.</w:t>
      </w:r>
    </w:p>
    <w:p w:rsidR="003400EB" w:rsidRDefault="003400EB" w:rsidP="003400EB">
      <w:pPr>
        <w:pStyle w:val="FootnoteText"/>
        <w:rPr>
          <w:rFonts w:hint="cs"/>
          <w:lang w:bidi="fa-IR"/>
        </w:rPr>
      </w:pPr>
    </w:p>
  </w:footnote>
  <w:footnote w:id="2">
    <w:p w:rsidR="005B75F4" w:rsidRDefault="005B75F4" w:rsidP="005B75F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Ansi="Traditional Arabic" w:hint="cs"/>
          <w:rtl/>
        </w:rPr>
        <w:t xml:space="preserve"> </w:t>
      </w:r>
      <w:r>
        <w:rPr>
          <w:rFonts w:hAnsi="Traditional Arabic" w:hint="cs"/>
          <w:rtl/>
          <w:lang w:bidi="fa-IR"/>
        </w:rPr>
        <w:t>( 10)- .... الفضائل لابن شاذان: 151، البحار 36: 116/ 63.</w:t>
      </w:r>
    </w:p>
  </w:footnote>
  <w:footnote w:id="3">
    <w:p w:rsidR="005B75F4" w:rsidRDefault="005B75F4" w:rsidP="005B75F4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Fonts w:hAnsi="Traditional Arabic" w:hint="cs"/>
          <w:rtl/>
        </w:rPr>
        <w:t xml:space="preserve"> </w:t>
      </w:r>
      <w:r>
        <w:rPr>
          <w:rFonts w:hAnsi="Traditional Arabic" w:hint="cs"/>
          <w:rtl/>
          <w:lang w:bidi="fa-IR"/>
        </w:rPr>
        <w:t>( 1) في« ج»: و أسقطها.</w:t>
      </w:r>
    </w:p>
  </w:footnote>
  <w:footnote w:id="4">
    <w:p w:rsidR="00926B8B" w:rsidRDefault="005B75F4" w:rsidP="00926B8B">
      <w:pPr>
        <w:pStyle w:val="NormalWeb"/>
        <w:bidi/>
        <w:jc w:val="center"/>
        <w:rPr>
          <w:lang w:bidi="fa-IR"/>
        </w:rPr>
      </w:pPr>
      <w:r>
        <w:rPr>
          <w:rStyle w:val="FootnoteReference"/>
        </w:rPr>
        <w:footnoteRef/>
      </w:r>
      <w:r>
        <w:rPr>
          <w:rFonts w:hAnsi="Traditional Arabic" w:hint="cs"/>
          <w:rtl/>
        </w:rPr>
        <w:t xml:space="preserve"> </w:t>
      </w:r>
      <w:r>
        <w:rPr>
          <w:rFonts w:hAnsi="Traditional Arabic" w:hint="cs"/>
          <w:rtl/>
          <w:lang w:bidi="fa-IR"/>
        </w:rPr>
        <w:t>بحرانى، هاشم بن سليمان، البرهان في تفسير القرآن، 5جلد، موسسة البعثة، قسم الدراسات الإسلامية - ايران - قم، چاپ: 1، 1415 ه.ق.</w:t>
      </w:r>
      <w:r w:rsidR="00926B8B" w:rsidRPr="00926B8B">
        <w:rPr>
          <w:rFonts w:ascii="Traditional Arabic" w:cs="Traditional Arabic" w:hint="cs"/>
          <w:b/>
          <w:bCs/>
          <w:color w:val="552B2B"/>
          <w:sz w:val="32"/>
          <w:szCs w:val="32"/>
          <w:rtl/>
          <w:lang w:bidi="fa-IR"/>
        </w:rPr>
        <w:t xml:space="preserve"> </w:t>
      </w:r>
      <w:r w:rsidR="00926B8B">
        <w:rPr>
          <w:rFonts w:ascii="Traditional Arabic" w:cs="Traditional Arabic" w:hint="cs"/>
          <w:b/>
          <w:bCs/>
          <w:color w:val="552B2B"/>
          <w:sz w:val="32"/>
          <w:szCs w:val="32"/>
          <w:rtl/>
          <w:lang w:bidi="fa-IR"/>
        </w:rPr>
        <w:t>البرهان في تفسير القرآن    ج‏5    689</w:t>
      </w:r>
    </w:p>
    <w:p w:rsidR="005B75F4" w:rsidRDefault="005B75F4" w:rsidP="005B75F4">
      <w:pPr>
        <w:pStyle w:val="FootnoteText"/>
        <w:rPr>
          <w:rFonts w:hint="cs"/>
          <w:rtl/>
        </w:rPr>
      </w:pPr>
    </w:p>
  </w:footnote>
  <w:footnote w:id="5">
    <w:p w:rsidR="001839CC" w:rsidRDefault="001839CC" w:rsidP="001839CC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( 1) تفسير فخر رازى، ج 32، ص 2.</w:t>
      </w:r>
    </w:p>
  </w:footnote>
  <w:footnote w:id="6">
    <w:p w:rsidR="00926B8B" w:rsidRDefault="00926B8B" w:rsidP="00926B8B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( 1) مجمع البيان، ج 10، ص 508.</w:t>
      </w:r>
    </w:p>
  </w:footnote>
  <w:footnote w:id="7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( 1) الدر المنثور، ج 6، ص 363.</w:t>
      </w:r>
    </w:p>
  </w:footnote>
  <w:footnote w:id="8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 و 3 و 4 و 5) روح المعانى، ج 30، ص 167 به نقل از كتب مذكور.</w:t>
      </w:r>
    </w:p>
  </w:footnote>
  <w:footnote w:id="9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 و 3 و 4 و 5) روح المعانى، ج 30، ص 167 به نقل از كتب مذكور.</w:t>
      </w:r>
    </w:p>
  </w:footnote>
  <w:footnote w:id="10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 و 3 و 4 و 5) روح المعانى، ج 30، ص 167 به نقل از كتب مذكور.</w:t>
      </w:r>
    </w:p>
  </w:footnote>
  <w:footnote w:id="11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 و 3 و 4 و 5) روح المعانى، ج 30، ص 167 به نقل از كتب مذكور.</w:t>
      </w:r>
    </w:p>
  </w:footnote>
  <w:footnote w:id="12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( 6) الدر المنثور، ج 6، ص 364.</w:t>
      </w:r>
    </w:p>
  </w:footnote>
  <w:footnote w:id="13">
    <w:p w:rsidR="00312032" w:rsidRDefault="00312032" w:rsidP="00312032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( 1) الدر المنثور، ج 6، ص 364.</w:t>
      </w:r>
    </w:p>
  </w:footnote>
  <w:footnote w:id="14">
    <w:p w:rsidR="001839CC" w:rsidRDefault="001839CC" w:rsidP="001839CC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( 2) مجمع البيان، ج 10، ص 509.</w:t>
      </w:r>
    </w:p>
  </w:footnote>
  <w:footnote w:id="15">
    <w:p w:rsidR="005B75F4" w:rsidRDefault="005B75F4" w:rsidP="005B75F4">
      <w:pPr>
        <w:pStyle w:val="FootnoteText"/>
        <w:rPr>
          <w:rFonts w:hint="cs"/>
          <w:color w:val="000000"/>
          <w:rtl/>
        </w:rPr>
      </w:pPr>
      <w:r>
        <w:rPr>
          <w:rStyle w:val="FootnoteReference"/>
          <w:color w:val="000000"/>
        </w:rPr>
        <w:footnoteRef/>
      </w:r>
      <w:r>
        <w:rPr>
          <w:rFonts w:hAnsi="Traditional Arabic" w:hint="cs"/>
          <w:color w:val="000000"/>
          <w:rtl/>
        </w:rPr>
        <w:t xml:space="preserve"> </w:t>
      </w:r>
      <w:r>
        <w:rPr>
          <w:rFonts w:hAnsi="Traditional Arabic" w:hint="cs"/>
          <w:color w:val="000000"/>
          <w:rtl/>
          <w:lang w:bidi="fa-IR"/>
        </w:rPr>
        <w:t>طباطبايى، محمدحسين، الميزان في تفسير القرآن، 20جلد، مؤسسة الأعلمي للمطبوعات - لبنان - بيروت، چاپ: 2، 1390 ه.ق.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F4"/>
    <w:rsid w:val="00010EB6"/>
    <w:rsid w:val="001839CC"/>
    <w:rsid w:val="002625C5"/>
    <w:rsid w:val="002D2A4F"/>
    <w:rsid w:val="00312032"/>
    <w:rsid w:val="00330B2D"/>
    <w:rsid w:val="003400EB"/>
    <w:rsid w:val="005B75F4"/>
    <w:rsid w:val="00916276"/>
    <w:rsid w:val="00926B8B"/>
    <w:rsid w:val="00942A14"/>
    <w:rsid w:val="00A84FC4"/>
    <w:rsid w:val="00AA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64ED"/>
  <w15:chartTrackingRefBased/>
  <w15:docId w15:val="{5F81DFC2-5686-40DF-8153-D3C4F1B2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B75F4"/>
    <w:pPr>
      <w:bidi/>
      <w:spacing w:after="0" w:line="240" w:lineRule="auto"/>
      <w:jc w:val="both"/>
    </w:pPr>
    <w:rPr>
      <w:rFonts w:ascii="Traditional Arabic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5F4"/>
    <w:rPr>
      <w:rFonts w:ascii="Traditional Arabic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5F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B7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B03D-7E62-4B90-A171-BCF01A5E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8</cp:revision>
  <dcterms:created xsi:type="dcterms:W3CDTF">2024-07-23T12:14:00Z</dcterms:created>
  <dcterms:modified xsi:type="dcterms:W3CDTF">2024-07-23T13:06:00Z</dcterms:modified>
</cp:coreProperties>
</file>