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C1" w:rsidRPr="00AB0FBA" w:rsidRDefault="009F4FC1" w:rsidP="002F2D86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left="821" w:right="821"/>
        <w:jc w:val="center"/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</w:pPr>
      <w:r w:rsidRPr="00AB0FBA">
        <w:rPr>
          <w:rFonts w:asciiTheme="minorHAnsi" w:hAnsiTheme="minorHAnsi" w:cstheme="minorHAnsi"/>
          <w:sz w:val="40"/>
          <w:szCs w:val="40"/>
          <w:rtl/>
        </w:rPr>
        <w:br/>
      </w:r>
      <w:r w:rsidR="002F2D86">
        <w:rPr>
          <w:rStyle w:val="Strong"/>
          <w:rFonts w:asciiTheme="minorHAnsi" w:hAnsiTheme="minorHAnsi" w:cstheme="minorHAnsi" w:hint="cs"/>
          <w:b w:val="0"/>
          <w:bCs w:val="0"/>
          <w:sz w:val="40"/>
          <w:szCs w:val="40"/>
          <w:highlight w:val="yellow"/>
          <w:rtl/>
        </w:rPr>
        <w:t>3</w:t>
      </w:r>
      <w:r w:rsidR="002F2D86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highlight w:val="yellow"/>
          <w:rtl/>
        </w:rPr>
        <w:t>شنبه 1</w:t>
      </w:r>
      <w:r w:rsidR="002F2D86">
        <w:rPr>
          <w:rStyle w:val="Strong"/>
          <w:rFonts w:asciiTheme="minorHAnsi" w:hAnsiTheme="minorHAnsi" w:cstheme="minorHAnsi" w:hint="cs"/>
          <w:b w:val="0"/>
          <w:bCs w:val="0"/>
          <w:sz w:val="40"/>
          <w:szCs w:val="40"/>
          <w:highlight w:val="yellow"/>
          <w:rtl/>
        </w:rPr>
        <w:t>9</w:t>
      </w:r>
      <w:r w:rsidR="002F2D86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highlight w:val="yellow"/>
          <w:rtl/>
        </w:rPr>
        <w:t>تیر 1403-</w:t>
      </w:r>
      <w:r w:rsidR="002F2D86">
        <w:rPr>
          <w:rStyle w:val="Strong"/>
          <w:rFonts w:asciiTheme="minorHAnsi" w:hAnsiTheme="minorHAnsi" w:cstheme="minorHAnsi" w:hint="cs"/>
          <w:b w:val="0"/>
          <w:bCs w:val="0"/>
          <w:sz w:val="40"/>
          <w:szCs w:val="40"/>
          <w:highlight w:val="yellow"/>
          <w:rtl/>
        </w:rPr>
        <w:t>3</w:t>
      </w:r>
      <w:r w:rsidR="002F2D86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highlight w:val="yellow"/>
          <w:rtl/>
        </w:rPr>
        <w:t>محرم 1446-</w:t>
      </w:r>
      <w:r w:rsidR="002F2D86">
        <w:rPr>
          <w:rStyle w:val="Strong"/>
          <w:rFonts w:asciiTheme="minorHAnsi" w:hAnsiTheme="minorHAnsi" w:cstheme="minorHAnsi" w:hint="cs"/>
          <w:b w:val="0"/>
          <w:bCs w:val="0"/>
          <w:sz w:val="40"/>
          <w:szCs w:val="40"/>
          <w:highlight w:val="yellow"/>
          <w:rtl/>
        </w:rPr>
        <w:t>9</w:t>
      </w:r>
      <w:r w:rsidR="002F2D86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highlight w:val="yellow"/>
          <w:rtl/>
        </w:rPr>
        <w:t>ژولای 2024-درس 16</w:t>
      </w:r>
      <w:r w:rsidR="002F2D86">
        <w:rPr>
          <w:rStyle w:val="Strong"/>
          <w:rFonts w:asciiTheme="minorHAnsi" w:hAnsiTheme="minorHAnsi" w:cstheme="minorHAnsi" w:hint="cs"/>
          <w:b w:val="0"/>
          <w:bCs w:val="0"/>
          <w:sz w:val="40"/>
          <w:szCs w:val="40"/>
          <w:highlight w:val="yellow"/>
          <w:rtl/>
        </w:rPr>
        <w:t>5</w:t>
      </w:r>
      <w:r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highlight w:val="yellow"/>
          <w:rtl/>
        </w:rPr>
        <w:t>فقه توانمندسازی –   شرائط توانمندسازان</w:t>
      </w:r>
    </w:p>
    <w:p w:rsidR="009F4FC1" w:rsidRPr="00AB0FBA" w:rsidRDefault="009F4FC1" w:rsidP="009F4FC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left="821" w:right="821"/>
        <w:jc w:val="center"/>
        <w:rPr>
          <w:rStyle w:val="Strong"/>
          <w:rFonts w:asciiTheme="minorHAnsi" w:hAnsiTheme="minorHAnsi" w:cstheme="minorHAnsi"/>
          <w:b w:val="0"/>
          <w:bCs w:val="0"/>
          <w:color w:val="FF0000"/>
          <w:sz w:val="40"/>
          <w:szCs w:val="40"/>
          <w:rtl/>
        </w:rPr>
      </w:pPr>
      <w:r w:rsidRPr="00AB0FBA">
        <w:rPr>
          <w:rStyle w:val="Strong"/>
          <w:rFonts w:asciiTheme="minorHAnsi" w:hAnsiTheme="minorHAnsi" w:cstheme="minorHAnsi"/>
          <w:b w:val="0"/>
          <w:bCs w:val="0"/>
          <w:color w:val="FF0000"/>
          <w:sz w:val="40"/>
          <w:szCs w:val="40"/>
          <w:rtl/>
        </w:rPr>
        <w:t>مساله :از شرائط مهم توانمندسازان  "عدم رها سازی  و واگذاری"</w:t>
      </w:r>
      <w:r>
        <w:rPr>
          <w:rStyle w:val="Strong"/>
          <w:rFonts w:asciiTheme="minorHAnsi" w:hAnsiTheme="minorHAnsi" w:cstheme="minorHAnsi"/>
          <w:b w:val="0"/>
          <w:bCs w:val="0"/>
          <w:color w:val="FF0000"/>
          <w:sz w:val="40"/>
          <w:szCs w:val="40"/>
          <w:rtl/>
        </w:rPr>
        <w:t xml:space="preserve">  توان</w:t>
      </w:r>
      <w:r>
        <w:rPr>
          <w:rStyle w:val="Strong"/>
          <w:rFonts w:asciiTheme="minorHAnsi" w:hAnsiTheme="minorHAnsi" w:cstheme="minorHAnsi" w:hint="cs"/>
          <w:b w:val="0"/>
          <w:bCs w:val="0"/>
          <w:color w:val="FF0000"/>
          <w:sz w:val="40"/>
          <w:szCs w:val="40"/>
          <w:rtl/>
        </w:rPr>
        <w:t xml:space="preserve"> پذیران به حال خود</w:t>
      </w:r>
      <w:r w:rsidRPr="00AB0FBA">
        <w:rPr>
          <w:rStyle w:val="Strong"/>
          <w:rFonts w:asciiTheme="minorHAnsi" w:hAnsiTheme="minorHAnsi" w:cstheme="minorHAnsi"/>
          <w:b w:val="0"/>
          <w:bCs w:val="0"/>
          <w:color w:val="FF0000"/>
          <w:sz w:val="40"/>
          <w:szCs w:val="40"/>
          <w:rtl/>
        </w:rPr>
        <w:t xml:space="preserve"> است </w:t>
      </w:r>
    </w:p>
    <w:p w:rsidR="003939B1" w:rsidRDefault="009F4FC1" w:rsidP="0062162D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left="821" w:right="821"/>
        <w:jc w:val="center"/>
        <w:rPr>
          <w:rFonts w:asciiTheme="minorHAnsi" w:hAnsiTheme="minorHAnsi" w:cstheme="minorHAnsi"/>
          <w:sz w:val="40"/>
          <w:szCs w:val="40"/>
          <w:rtl/>
        </w:rPr>
      </w:pPr>
      <w:r w:rsidRPr="004065C0">
        <w:rPr>
          <w:rStyle w:val="Strong"/>
          <w:rFonts w:asciiTheme="minorHAnsi" w:hAnsiTheme="minorHAnsi" w:cstheme="minorHAnsi"/>
          <w:i/>
          <w:iCs/>
          <w:sz w:val="40"/>
          <w:szCs w:val="40"/>
          <w:rtl/>
        </w:rPr>
        <w:t>شرح مساله</w:t>
      </w:r>
      <w:r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  <w:t xml:space="preserve"> : </w:t>
      </w:r>
      <w:r w:rsidR="00F90DC9">
        <w:rPr>
          <w:rStyle w:val="Strong"/>
          <w:rFonts w:asciiTheme="minorHAnsi" w:hAnsiTheme="minorHAnsi" w:cstheme="minorHAnsi" w:hint="cs"/>
          <w:b w:val="0"/>
          <w:bCs w:val="0"/>
          <w:sz w:val="40"/>
          <w:szCs w:val="40"/>
          <w:rtl/>
        </w:rPr>
        <w:t xml:space="preserve">معلوم شد که بین رب و مربوب رابطه  توانمندسازی برقرار است  خداوند به عنوان مالک مدبر   با تعلیم و تجهیز و تسخیر و.... مربوب خود را مداوما تقویت و توانا میکند  خصوصیات و اوصاف رب  العالمین  در فرآیند توانمندسازی  به نسبت خود   اوصاف مدیران جهان  در تدابیر نیابی  خود  باید واجد باشند  . البته مربوب  در مقابل رب استحقاقی ندارد و لی طبق قاعده لطف و امتنان    میتواند در قابل دعا و التماس مطالبه توان کند مثلا بگوید:" قو علی خدمتک جوارحی و اشدد علی العزیمه جوانحی" یعنی خدایا جوارح و جوانح من را  تقویت و تشدید بر خدمت و عزیمت (تصمیم گیری ) فرما . این مطالبه گری توان به اذن خداست که ضمن امر ادعونی داده شده است و پاسخ آن را با استجب لکم تضمین کرده است </w:t>
      </w:r>
      <w:r w:rsidR="000332C1">
        <w:rPr>
          <w:rStyle w:val="Strong"/>
          <w:rFonts w:asciiTheme="minorHAnsi" w:hAnsiTheme="minorHAnsi" w:cstheme="minorHAnsi" w:hint="cs"/>
          <w:b w:val="0"/>
          <w:bCs w:val="0"/>
          <w:sz w:val="40"/>
          <w:szCs w:val="40"/>
          <w:rtl/>
        </w:rPr>
        <w:t xml:space="preserve">. با توجه به اینکه همه قوا و توان ها در خدا وند تمرکز دارد (لاقوه الا بالله )  باید طبق توحید در استعانت از او اعانه خواست  . استمداد نمود . و لی اگر خلیف خدا حاکم شد طبق خطبه 34 نهج البلاغه از حقوق شهروند انو و رعایا این است که مورد تعلیم و تادیب و توفیر فیئ قرار گیرند  که در مقابل بیعت با حاکم شرع و اطاعت و  اجابت اوامر و دعوات او  به استحقاق آن دست </w:t>
      </w:r>
      <w:r w:rsidR="000332C1">
        <w:rPr>
          <w:rStyle w:val="Strong"/>
          <w:rFonts w:asciiTheme="minorHAnsi" w:hAnsiTheme="minorHAnsi" w:cstheme="minorHAnsi" w:hint="cs"/>
          <w:b w:val="0"/>
          <w:bCs w:val="0"/>
          <w:sz w:val="40"/>
          <w:szCs w:val="40"/>
          <w:rtl/>
        </w:rPr>
        <w:lastRenderedPageBreak/>
        <w:t>یافته اند . لذا در درجه اول مربوبین رب العالمین مورد توان بخشی امتنانی هستند و در رده های بعدی جزء حقوق رعایا توانمندشدن  است و قابل مطاله هم هستند  . به هر حال قاعده این است که اوصاف توانمندساز رب العالمین  همان اوصاف توانمندسازان سایر رده هاست به حسب رده و طبقه خود .</w:t>
      </w:r>
      <w:r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  <w:t xml:space="preserve"> مثلا خداوند معلم است  که عالم و علیم است  رئوف و رحیم است دانا به ظرفیت های مربوب  و متربی ست وساوس نفس او را میداند  حوائج  او را آشناست تواناییها  و دانایی ها را مطابق استعدادها اعطاء میکند تعلیم مالایطاق و تمکین فوق وسع نمی دهد و..... که باید این اوصاف خاص توانمند سازی استقصاء شود وشرائط توانمندسازان  در پرتو آن استطهار و استنباط گردد .در این نوبت به وصف "عدم واگذاری مربوب و متربی  به حال خود" می پردازیم که از آیه شریفه "</w:t>
      </w:r>
      <w:r w:rsidRPr="00AB0FBA">
        <w:rPr>
          <w:rFonts w:asciiTheme="minorHAnsi" w:hAnsiTheme="minorHAnsi" w:cstheme="minorHAnsi"/>
          <w:sz w:val="40"/>
          <w:szCs w:val="40"/>
          <w:rtl/>
        </w:rPr>
        <w:t xml:space="preserve"> مَا وَدَّعَكَ رَبُّكَ وَمَا قَلَى "</w:t>
      </w:r>
      <w:r w:rsidR="003939B1">
        <w:rPr>
          <w:rStyle w:val="FootnoteReference"/>
          <w:rFonts w:asciiTheme="minorHAnsi" w:hAnsiTheme="minorHAnsi" w:cstheme="minorHAnsi"/>
          <w:sz w:val="40"/>
          <w:szCs w:val="40"/>
          <w:rtl/>
          <w:lang w:bidi="fa-IR"/>
        </w:rPr>
        <w:footnoteReference w:id="1"/>
      </w:r>
      <w:r w:rsidR="003939B1">
        <w:rPr>
          <w:rFonts w:asciiTheme="minorHAnsi" w:hAnsiTheme="minorHAnsi" w:cstheme="minorHAnsi" w:hint="cs"/>
          <w:sz w:val="40"/>
          <w:szCs w:val="40"/>
          <w:rtl/>
        </w:rPr>
        <w:t>.</w:t>
      </w:r>
      <w:r w:rsidRPr="00AB0FBA">
        <w:rPr>
          <w:rStyle w:val="FootnoteReference"/>
          <w:rFonts w:asciiTheme="minorHAnsi" w:hAnsiTheme="minorHAnsi" w:cstheme="minorHAnsi"/>
          <w:sz w:val="40"/>
          <w:szCs w:val="40"/>
          <w:rtl/>
        </w:rPr>
        <w:footnoteReference w:id="2"/>
      </w:r>
      <w:r w:rsidRPr="00AB0FBA">
        <w:rPr>
          <w:rFonts w:asciiTheme="minorHAnsi" w:hAnsiTheme="minorHAnsi" w:cstheme="minorHAnsi"/>
          <w:sz w:val="40"/>
          <w:szCs w:val="40"/>
          <w:rtl/>
        </w:rPr>
        <w:t>"پروردگارت تو را وانگذاشته و دشمن نداشته است " که برای   اهمیت این وصف و توصیف تمکن ساز مستظهر به چندین سوگند شده است .</w:t>
      </w:r>
      <w:r w:rsidRPr="00AB0FBA">
        <w:rPr>
          <w:rStyle w:val="FootnoteReference"/>
          <w:rFonts w:asciiTheme="minorHAnsi" w:hAnsiTheme="minorHAnsi" w:cstheme="minorHAnsi"/>
          <w:sz w:val="40"/>
          <w:szCs w:val="40"/>
          <w:rtl/>
        </w:rPr>
        <w:footnoteReference w:id="3"/>
      </w:r>
      <w:r>
        <w:rPr>
          <w:rFonts w:asciiTheme="minorHAnsi" w:hAnsiTheme="minorHAnsi" w:cstheme="minorHAnsi"/>
          <w:sz w:val="40"/>
          <w:szCs w:val="40"/>
          <w:rtl/>
        </w:rPr>
        <w:t xml:space="preserve"> </w:t>
      </w:r>
      <w:r w:rsidR="003939B1">
        <w:rPr>
          <w:rFonts w:asciiTheme="minorHAnsi" w:hAnsiTheme="minorHAnsi" w:cstheme="minorHAnsi" w:hint="cs"/>
          <w:sz w:val="40"/>
          <w:szCs w:val="40"/>
          <w:rtl/>
        </w:rPr>
        <w:t xml:space="preserve">مبنای </w:t>
      </w:r>
      <w:r w:rsidR="003939B1">
        <w:rPr>
          <w:rFonts w:asciiTheme="minorHAnsi" w:hAnsiTheme="minorHAnsi" w:cstheme="minorHAnsi" w:hint="cs"/>
          <w:sz w:val="40"/>
          <w:szCs w:val="40"/>
          <w:rtl/>
        </w:rPr>
        <w:lastRenderedPageBreak/>
        <w:t xml:space="preserve">توانمندسازی عدم تودیع است یعنی عدم ترک و توجه است یعنی باید توان پذیر را قبل از استخدام وارد یک فرآیند نمود  با توجه کامل  بدون بغض و خشونت و دشمنی بلکه با دوستی و محبت  و یعنی توانمندساز دارای دو ویژگی است توجه کامل و عدم خشونت </w:t>
      </w:r>
      <w:r w:rsidR="003F575F">
        <w:rPr>
          <w:rFonts w:asciiTheme="minorHAnsi" w:hAnsiTheme="minorHAnsi" w:cstheme="minorHAnsi" w:hint="cs"/>
          <w:sz w:val="40"/>
          <w:szCs w:val="40"/>
          <w:rtl/>
        </w:rPr>
        <w:t>.</w:t>
      </w:r>
      <w:bookmarkStart w:id="0" w:name="_GoBack"/>
      <w:bookmarkEnd w:id="0"/>
    </w:p>
    <w:p w:rsidR="0062162D" w:rsidRDefault="009F4FC1" w:rsidP="003939B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left="821" w:right="821"/>
        <w:jc w:val="center"/>
        <w:rPr>
          <w:rFonts w:asciiTheme="minorHAnsi" w:hAnsiTheme="minorHAnsi" w:cstheme="minorHAnsi"/>
          <w:sz w:val="40"/>
          <w:szCs w:val="40"/>
          <w:rtl/>
          <w:lang w:bidi="fa-IR"/>
        </w:rPr>
      </w:pPr>
      <w:r w:rsidRPr="00AB0FBA">
        <w:rPr>
          <w:rFonts w:asciiTheme="minorHAnsi" w:hAnsiTheme="minorHAnsi" w:cstheme="minorHAnsi"/>
          <w:sz w:val="40"/>
          <w:szCs w:val="40"/>
          <w:rtl/>
        </w:rPr>
        <w:t xml:space="preserve"> بر مبنای </w:t>
      </w:r>
      <w:r>
        <w:rPr>
          <w:rFonts w:asciiTheme="minorHAnsi" w:hAnsiTheme="minorHAnsi" w:cstheme="minorHAnsi" w:hint="cs"/>
          <w:sz w:val="40"/>
          <w:szCs w:val="40"/>
          <w:rtl/>
        </w:rPr>
        <w:t>ا</w:t>
      </w:r>
      <w:r w:rsidRPr="00AB0FBA">
        <w:rPr>
          <w:rFonts w:asciiTheme="minorHAnsi" w:hAnsiTheme="minorHAnsi" w:cstheme="minorHAnsi"/>
          <w:sz w:val="40"/>
          <w:szCs w:val="40"/>
          <w:rtl/>
        </w:rPr>
        <w:t xml:space="preserve">ین وصف چند سرفصل  از انواع توانمندسازی ها را هم عرضه </w:t>
      </w:r>
      <w:r w:rsidR="0080498D">
        <w:rPr>
          <w:rFonts w:asciiTheme="minorHAnsi" w:hAnsiTheme="minorHAnsi" w:cstheme="minorHAnsi"/>
          <w:sz w:val="40"/>
          <w:szCs w:val="40"/>
          <w:rtl/>
        </w:rPr>
        <w:t>میفرماید .</w:t>
      </w:r>
      <w:r w:rsidR="00181198">
        <w:rPr>
          <w:rFonts w:asciiTheme="minorHAnsi" w:hAnsiTheme="minorHAnsi" w:cstheme="minorHAnsi" w:hint="cs"/>
          <w:sz w:val="40"/>
          <w:szCs w:val="40"/>
          <w:rtl/>
          <w:lang w:bidi="fa-IR"/>
        </w:rPr>
        <w:t xml:space="preserve"> مانند </w:t>
      </w:r>
    </w:p>
    <w:p w:rsidR="0062162D" w:rsidRDefault="0062162D" w:rsidP="003939B1">
      <w:pPr>
        <w:pStyle w:val="NormalWeb"/>
        <w:numPr>
          <w:ilvl w:val="0"/>
          <w:numId w:val="1"/>
        </w:numPr>
        <w:shd w:val="clear" w:color="auto" w:fill="FFFFFF"/>
        <w:bidi/>
        <w:spacing w:before="274" w:beforeAutospacing="0" w:after="274" w:afterAutospacing="0" w:line="390" w:lineRule="atLeast"/>
        <w:ind w:right="821"/>
        <w:jc w:val="center"/>
        <w:rPr>
          <w:rFonts w:asciiTheme="minorHAnsi" w:hAnsiTheme="minorHAnsi" w:cstheme="minorHAnsi"/>
          <w:sz w:val="40"/>
          <w:szCs w:val="40"/>
          <w:lang w:bidi="fa-IR"/>
        </w:rPr>
      </w:pPr>
      <w:r>
        <w:rPr>
          <w:rFonts w:asciiTheme="minorHAnsi" w:hAnsiTheme="minorHAnsi" w:cstheme="minorHAnsi" w:hint="cs"/>
          <w:sz w:val="40"/>
          <w:szCs w:val="40"/>
          <w:rtl/>
          <w:lang w:bidi="fa-IR"/>
        </w:rPr>
        <w:t xml:space="preserve"> اعطائات رضایت بخش : </w:t>
      </w:r>
    </w:p>
    <w:p w:rsidR="0062162D" w:rsidRDefault="00181198" w:rsidP="0062162D">
      <w:pPr>
        <w:pStyle w:val="NormalWeb"/>
        <w:numPr>
          <w:ilvl w:val="0"/>
          <w:numId w:val="1"/>
        </w:numPr>
        <w:shd w:val="clear" w:color="auto" w:fill="FFFFFF"/>
        <w:bidi/>
        <w:spacing w:before="274" w:beforeAutospacing="0" w:after="274" w:afterAutospacing="0" w:line="390" w:lineRule="atLeast"/>
        <w:ind w:right="821"/>
        <w:jc w:val="center"/>
        <w:rPr>
          <w:rFonts w:asciiTheme="minorHAnsi" w:hAnsiTheme="minorHAnsi" w:cstheme="minorHAnsi"/>
          <w:sz w:val="40"/>
          <w:szCs w:val="40"/>
          <w:lang w:bidi="fa-IR"/>
        </w:rPr>
      </w:pPr>
      <w:r>
        <w:rPr>
          <w:rFonts w:asciiTheme="minorHAnsi" w:hAnsiTheme="minorHAnsi" w:cstheme="minorHAnsi" w:hint="cs"/>
          <w:sz w:val="40"/>
          <w:szCs w:val="40"/>
          <w:rtl/>
          <w:lang w:bidi="fa-IR"/>
        </w:rPr>
        <w:t>ماوی دادن</w:t>
      </w:r>
      <w:r w:rsidR="0062162D">
        <w:rPr>
          <w:rFonts w:asciiTheme="minorHAnsi" w:hAnsiTheme="minorHAnsi" w:cstheme="minorHAnsi" w:hint="cs"/>
          <w:sz w:val="40"/>
          <w:szCs w:val="40"/>
          <w:rtl/>
          <w:lang w:bidi="fa-IR"/>
        </w:rPr>
        <w:t xml:space="preserve"> :</w:t>
      </w:r>
    </w:p>
    <w:p w:rsidR="0062162D" w:rsidRDefault="00181198" w:rsidP="0062162D">
      <w:pPr>
        <w:pStyle w:val="NormalWeb"/>
        <w:numPr>
          <w:ilvl w:val="0"/>
          <w:numId w:val="1"/>
        </w:numPr>
        <w:shd w:val="clear" w:color="auto" w:fill="FFFFFF"/>
        <w:bidi/>
        <w:spacing w:before="274" w:beforeAutospacing="0" w:after="274" w:afterAutospacing="0" w:line="390" w:lineRule="atLeast"/>
        <w:ind w:right="821"/>
        <w:jc w:val="center"/>
        <w:rPr>
          <w:rFonts w:asciiTheme="minorHAnsi" w:hAnsiTheme="minorHAnsi" w:cstheme="minorHAnsi"/>
          <w:sz w:val="40"/>
          <w:szCs w:val="40"/>
          <w:lang w:bidi="fa-IR"/>
        </w:rPr>
      </w:pPr>
      <w:r>
        <w:rPr>
          <w:rFonts w:asciiTheme="minorHAnsi" w:hAnsiTheme="minorHAnsi" w:cstheme="minorHAnsi" w:hint="cs"/>
          <w:sz w:val="40"/>
          <w:szCs w:val="40"/>
          <w:rtl/>
          <w:lang w:bidi="fa-IR"/>
        </w:rPr>
        <w:lastRenderedPageBreak/>
        <w:t xml:space="preserve"> و بی </w:t>
      </w:r>
      <w:r w:rsidR="0062162D">
        <w:rPr>
          <w:rFonts w:asciiTheme="minorHAnsi" w:hAnsiTheme="minorHAnsi" w:cstheme="minorHAnsi" w:hint="cs"/>
          <w:sz w:val="40"/>
          <w:szCs w:val="40"/>
          <w:rtl/>
          <w:lang w:bidi="fa-IR"/>
        </w:rPr>
        <w:t xml:space="preserve">نیاز کردن و رفع عیلوله نمودن </w:t>
      </w:r>
      <w:r w:rsidR="0062162D">
        <w:rPr>
          <w:rStyle w:val="FootnoteReference"/>
          <w:rFonts w:asciiTheme="minorHAnsi" w:hAnsiTheme="minorHAnsi" w:cstheme="minorHAnsi"/>
          <w:sz w:val="40"/>
          <w:szCs w:val="40"/>
          <w:rtl/>
          <w:lang w:bidi="fa-IR"/>
        </w:rPr>
        <w:footnoteReference w:id="4"/>
      </w:r>
    </w:p>
    <w:p w:rsidR="009F4FC1" w:rsidRPr="00AB0FBA" w:rsidRDefault="0062162D" w:rsidP="0062162D">
      <w:pPr>
        <w:pStyle w:val="NormalWeb"/>
        <w:numPr>
          <w:ilvl w:val="0"/>
          <w:numId w:val="1"/>
        </w:numPr>
        <w:shd w:val="clear" w:color="auto" w:fill="FFFFFF"/>
        <w:bidi/>
        <w:spacing w:before="274" w:beforeAutospacing="0" w:after="274" w:afterAutospacing="0" w:line="390" w:lineRule="atLeast"/>
        <w:ind w:right="821"/>
        <w:jc w:val="center"/>
        <w:rPr>
          <w:rFonts w:asciiTheme="minorHAnsi" w:hAnsiTheme="minorHAnsi" w:cstheme="minorHAnsi" w:hint="cs"/>
          <w:sz w:val="40"/>
          <w:szCs w:val="40"/>
          <w:rtl/>
          <w:lang w:bidi="fa-IR"/>
        </w:rPr>
      </w:pPr>
      <w:r>
        <w:rPr>
          <w:rFonts w:asciiTheme="minorHAnsi" w:hAnsiTheme="minorHAnsi" w:cstheme="minorHAnsi" w:hint="cs"/>
          <w:sz w:val="40"/>
          <w:szCs w:val="40"/>
          <w:rtl/>
          <w:lang w:bidi="fa-IR"/>
        </w:rPr>
        <w:t xml:space="preserve"> و هدایت کردن و راهنمایی نمودن و مسیر یابی است </w:t>
      </w:r>
    </w:p>
    <w:p w:rsidR="009F4FC1" w:rsidRPr="00AB0FBA" w:rsidRDefault="009F4FC1" w:rsidP="009F4FC1">
      <w:pPr>
        <w:rPr>
          <w:rFonts w:cstheme="minorHAnsi"/>
          <w:sz w:val="40"/>
          <w:szCs w:val="40"/>
        </w:rPr>
      </w:pPr>
    </w:p>
    <w:p w:rsidR="00AE7FA0" w:rsidRDefault="00AE7FA0"/>
    <w:sectPr w:rsidR="00AE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6C" w:rsidRDefault="004A796C" w:rsidP="009F4FC1">
      <w:pPr>
        <w:spacing w:after="0" w:line="240" w:lineRule="auto"/>
      </w:pPr>
      <w:r>
        <w:separator/>
      </w:r>
    </w:p>
  </w:endnote>
  <w:endnote w:type="continuationSeparator" w:id="0">
    <w:p w:rsidR="004A796C" w:rsidRDefault="004A796C" w:rsidP="009F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6C" w:rsidRDefault="004A796C" w:rsidP="009F4FC1">
      <w:pPr>
        <w:spacing w:after="0" w:line="240" w:lineRule="auto"/>
      </w:pPr>
      <w:r>
        <w:separator/>
      </w:r>
    </w:p>
  </w:footnote>
  <w:footnote w:type="continuationSeparator" w:id="0">
    <w:p w:rsidR="004A796C" w:rsidRDefault="004A796C" w:rsidP="009F4FC1">
      <w:pPr>
        <w:spacing w:after="0" w:line="240" w:lineRule="auto"/>
      </w:pPr>
      <w:r>
        <w:continuationSeparator/>
      </w:r>
    </w:p>
  </w:footnote>
  <w:footnote w:id="1">
    <w:p w:rsidR="003939B1" w:rsidRPr="0080498D" w:rsidRDefault="003939B1" w:rsidP="003939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0498D">
        <w:rPr>
          <w:rFonts w:ascii="Traditional Arabic" w:eastAsia="Times New Roman" w:hAnsi="Times New Roman" w:cs="Traditional Arabic" w:hint="cs"/>
          <w:color w:val="02802C"/>
          <w:sz w:val="30"/>
          <w:szCs w:val="30"/>
          <w:rtl/>
          <w:lang w:bidi="fa-IR"/>
        </w:rPr>
        <w:t>ما وَدَّعَكَ رَبُّكَ وَ ما قَلى‏"</w:t>
      </w:r>
      <w:r w:rsidRPr="0080498D">
        <w:rPr>
          <w:rFonts w:ascii="Traditional Arabic" w:eastAsia="Times New Roman" w:hAnsi="Times New Roman" w:cs="Traditional Arabic" w:hint="cs"/>
          <w:color w:val="000000"/>
          <w:sz w:val="30"/>
          <w:szCs w:val="30"/>
          <w:rtl/>
          <w:lang w:bidi="fa-IR"/>
        </w:rPr>
        <w:t>" توديع" كه مصدر فعل" ودع" است به معناى ترك است، و كلمه" قلى"- به كسره قاف- به معناى بغض و يا شدت بغض است، و اين آيه جواب دو سوگند اول سوره است، و مناسبت نور روز با مساله وحى، و تاريكى شب با انقطاع وحى بر كسى پوشيده نيست.</w:t>
      </w:r>
    </w:p>
    <w:p w:rsidR="003939B1" w:rsidRDefault="003939B1" w:rsidP="003939B1">
      <w:pPr>
        <w:pStyle w:val="FootnoteText"/>
        <w:rPr>
          <w:rFonts w:hint="cs"/>
          <w:rtl/>
          <w:lang w:bidi="fa-IR"/>
        </w:rPr>
      </w:pPr>
    </w:p>
  </w:footnote>
  <w:footnote w:id="2">
    <w:p w:rsidR="009F4FC1" w:rsidRDefault="009F4FC1" w:rsidP="009F4FC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سوره </w:t>
      </w:r>
      <w:r>
        <w:rPr>
          <w:rFonts w:hint="cs"/>
          <w:rtl/>
          <w:lang w:bidi="fa-IR"/>
        </w:rPr>
        <w:t>ضحی آیه 3</w:t>
      </w:r>
    </w:p>
  </w:footnote>
  <w:footnote w:id="3">
    <w:p w:rsidR="009F4FC1" w:rsidRPr="00675280" w:rsidRDefault="009F4FC1" w:rsidP="009F4FC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>
        <w:rPr>
          <w:rStyle w:val="FootnoteReference"/>
        </w:rPr>
        <w:footnoteRef/>
      </w:r>
      <w:r>
        <w:t xml:space="preserve"> </w:t>
      </w:r>
      <w:r w:rsidRPr="00675280">
        <w:rPr>
          <w:rFonts w:ascii="IranSans" w:hAnsi="IranSans"/>
          <w:color w:val="696969"/>
          <w:sz w:val="23"/>
          <w:szCs w:val="23"/>
          <w:rtl/>
        </w:rPr>
        <w:t>بِسْمِ اللَّهِ الرَّحْمَنِ الرَّحِيمِ</w:t>
      </w:r>
      <w:r>
        <w:rPr>
          <w:rFonts w:ascii="IranSans" w:hAnsi="IranSans" w:hint="cs"/>
          <w:color w:val="696969"/>
          <w:sz w:val="23"/>
          <w:szCs w:val="23"/>
          <w:rtl/>
        </w:rPr>
        <w:t xml:space="preserve"> </w:t>
      </w:r>
      <w:r w:rsidRPr="00675280">
        <w:rPr>
          <w:rFonts w:ascii="IranSans" w:hAnsi="IranSans"/>
          <w:color w:val="696969"/>
          <w:sz w:val="23"/>
          <w:szCs w:val="23"/>
          <w:rtl/>
        </w:rPr>
        <w:t>به نام خداوند رحمتگر مهربان</w:t>
      </w:r>
    </w:p>
    <w:p w:rsidR="009F4FC1" w:rsidRPr="00675280" w:rsidRDefault="009F4FC1" w:rsidP="009F4FC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وَالضُّحَى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۱</w:t>
      </w:r>
      <w:r w:rsidRPr="00675280">
        <w:rPr>
          <w:rFonts w:ascii="IranSans" w:hAnsi="IranSans"/>
          <w:color w:val="696969"/>
          <w:sz w:val="23"/>
          <w:szCs w:val="23"/>
          <w:rtl/>
        </w:rPr>
        <w:t>﴾سوگند به روشنايى روز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۱)</w:t>
      </w:r>
    </w:p>
    <w:p w:rsidR="009F4FC1" w:rsidRPr="00675280" w:rsidRDefault="009F4FC1" w:rsidP="009F4FC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وَاللَّيْلِ إِذَا سَجَى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۲</w:t>
      </w:r>
      <w:r w:rsidRPr="00675280">
        <w:rPr>
          <w:rFonts w:ascii="IranSans" w:hAnsi="IranSans"/>
          <w:color w:val="696969"/>
          <w:sz w:val="23"/>
          <w:szCs w:val="23"/>
          <w:rtl/>
        </w:rPr>
        <w:t>﴾سوگند به شب چون آرام گيرد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۲)</w:t>
      </w:r>
    </w:p>
    <w:p w:rsidR="009F4FC1" w:rsidRPr="00675280" w:rsidRDefault="009F4FC1" w:rsidP="009F4FC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مَا وَدَّعَكَ رَبُّكَ وَمَا قَلَى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۳</w:t>
      </w:r>
      <w:r w:rsidRPr="00675280">
        <w:rPr>
          <w:rFonts w:ascii="IranSans" w:hAnsi="IranSans"/>
          <w:color w:val="696969"/>
          <w:sz w:val="23"/>
          <w:szCs w:val="23"/>
          <w:rtl/>
        </w:rPr>
        <w:t>﴾[كه] پروردگارت تو را وانگذاشته و دشمن نداشته است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۳)</w:t>
      </w:r>
    </w:p>
    <w:p w:rsidR="009F4FC1" w:rsidRPr="00675280" w:rsidRDefault="009F4FC1" w:rsidP="009F4FC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وَلَلْآخِرَةُ خَيْرٌ لَكَ مِنَ الْأُولَى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۴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قطعا آخرت براى تو از دنيا نيكوتر خواهد بود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۴)</w:t>
      </w:r>
    </w:p>
    <w:p w:rsidR="009F4FC1" w:rsidRPr="00675280" w:rsidRDefault="009F4FC1" w:rsidP="009F4FC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وَلَسَوْفَ يُعْطِيكَ رَبُّكَ فَتَرْضَى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۵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بزودى پروردگارت تو را عطا خواهد داد تا خرسند گردى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۵)</w:t>
      </w:r>
    </w:p>
    <w:p w:rsidR="009F4FC1" w:rsidRPr="00675280" w:rsidRDefault="009F4FC1" w:rsidP="009F4FC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أَلَمْ يَجِدْكَ يَتِيمًا فَآوَى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۶</w:t>
      </w:r>
      <w:r w:rsidRPr="00675280">
        <w:rPr>
          <w:rFonts w:ascii="IranSans" w:hAnsi="IranSans"/>
          <w:color w:val="696969"/>
          <w:sz w:val="23"/>
          <w:szCs w:val="23"/>
          <w:rtl/>
        </w:rPr>
        <w:t>﴾مگر نه تو را يتيم يافت پس پناه داد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۶)</w:t>
      </w:r>
    </w:p>
    <w:p w:rsidR="009F4FC1" w:rsidRPr="00675280" w:rsidRDefault="009F4FC1" w:rsidP="009F4FC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وَوَجَدَكَ ضَالًّا فَهَدَى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۷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تو را سرگشته يافت پس هدايت كرد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۷)</w:t>
      </w:r>
    </w:p>
    <w:p w:rsidR="009F4FC1" w:rsidRPr="00675280" w:rsidRDefault="009F4FC1" w:rsidP="009F4FC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وَوَجَدَكَ عَائِلًا فَأَغْنَى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۸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تو را تنگدست‏ يافت و بى ‏نياز گردانيد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۸)</w:t>
      </w:r>
    </w:p>
    <w:p w:rsidR="009F4FC1" w:rsidRPr="00675280" w:rsidRDefault="009F4FC1" w:rsidP="009F4FC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فَأَمَّا الْيَتِيمَ فَلَا تَقْهَرْ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۹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اما [تو نيز به پاس نعمت ما] يتيم را ميازار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۹)</w:t>
      </w:r>
    </w:p>
    <w:p w:rsidR="009F4FC1" w:rsidRPr="00675280" w:rsidRDefault="009F4FC1" w:rsidP="009F4FC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وَأَمَّا السَّائِلَ فَلَا تَنْهَرْ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۱۰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گدا را مران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۱۰)</w:t>
      </w:r>
    </w:p>
    <w:p w:rsidR="009F4FC1" w:rsidRPr="003939B1" w:rsidRDefault="009F4FC1" w:rsidP="003939B1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وَأَمَّا بِنِعْمَةِ رَبِّكَ فَحَدِّثْ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۱۱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از نعمت پروردگار خويش [با مردم] سخن گوى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۱۱)</w:t>
      </w:r>
    </w:p>
  </w:footnote>
  <w:footnote w:id="4">
    <w:p w:rsidR="0062162D" w:rsidRPr="0080498D" w:rsidRDefault="0062162D" w:rsidP="003939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0498D">
        <w:rPr>
          <w:rFonts w:ascii="Traditional Arabic" w:eastAsia="Times New Roman" w:hAnsi="Times New Roman" w:cs="Traditional Arabic" w:hint="cs"/>
          <w:color w:val="02802C"/>
          <w:sz w:val="30"/>
          <w:szCs w:val="30"/>
          <w:rtl/>
          <w:lang w:bidi="fa-IR"/>
        </w:rPr>
        <w:t>" وَ وَجَدَكَ عائِلًا فَأَغْنى‏"</w:t>
      </w:r>
      <w:r w:rsidRPr="0080498D">
        <w:rPr>
          <w:rFonts w:ascii="Traditional Arabic" w:eastAsia="Times New Roman" w:hAnsi="Times New Roman" w:cs="Traditional Arabic" w:hint="cs"/>
          <w:color w:val="000000"/>
          <w:sz w:val="30"/>
          <w:szCs w:val="30"/>
          <w:rtl/>
          <w:lang w:bidi="fa-IR"/>
        </w:rPr>
        <w:t xml:space="preserve"> كلمه" عائل" به معناى تهى دستى است كه از مال دنيا چيزى ندارد، و رسول خدا (ص) همين طور بود، و خداى تعالى او را بعد از ازدواج با خديجه دختر خويلد (عليها السلام) بى نياز كرد، و خديجه تمامى اموالش را با همه كثرتى كه داشت به آن جناب بخشيد.ولى بعضى گفته‏اند: مراد از اغناء، استجابت دعاى آن حضرت است.</w:t>
      </w:r>
    </w:p>
    <w:p w:rsidR="0062162D" w:rsidRDefault="0062162D">
      <w:pPr>
        <w:pStyle w:val="FootnoteText"/>
        <w:rPr>
          <w:rFonts w:hint="cs"/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D0931"/>
    <w:multiLevelType w:val="hybridMultilevel"/>
    <w:tmpl w:val="3F1A49F6"/>
    <w:lvl w:ilvl="0" w:tplc="C832CEEE">
      <w:start w:val="1"/>
      <w:numFmt w:val="decimal"/>
      <w:lvlText w:val="%1-"/>
      <w:lvlJc w:val="left"/>
      <w:pPr>
        <w:ind w:left="1181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C1"/>
    <w:rsid w:val="000332C1"/>
    <w:rsid w:val="00181198"/>
    <w:rsid w:val="002F2D86"/>
    <w:rsid w:val="003939B1"/>
    <w:rsid w:val="003F575F"/>
    <w:rsid w:val="004A796C"/>
    <w:rsid w:val="0062162D"/>
    <w:rsid w:val="00632C4C"/>
    <w:rsid w:val="0080498D"/>
    <w:rsid w:val="009F4FC1"/>
    <w:rsid w:val="00AE7FA0"/>
    <w:rsid w:val="00D9247A"/>
    <w:rsid w:val="00F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A040"/>
  <w15:chartTrackingRefBased/>
  <w15:docId w15:val="{DFDEFAE3-968C-4E56-B2B1-B2C0A64F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4FC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4F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F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4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929C-28A7-432F-9F14-F2DA58A3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10</cp:revision>
  <dcterms:created xsi:type="dcterms:W3CDTF">2024-07-08T20:16:00Z</dcterms:created>
  <dcterms:modified xsi:type="dcterms:W3CDTF">2024-07-09T00:35:00Z</dcterms:modified>
</cp:coreProperties>
</file>