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EA35" w14:textId="77777777" w:rsidR="00FF3DC5" w:rsidRPr="005B2BD0" w:rsidRDefault="00E333DA" w:rsidP="005B2BD0">
      <w:pPr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bookmarkStart w:id="0" w:name="_Hlk215466559"/>
      <w:r w:rsidRPr="005B2BD0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2شنبه 10/9/1404-10جمادی الثانی 1447- اول دسامبر 2025- فقه الاداره – فقه معاصر – فقه مدیریت رفتار سازمانی – درس 49 فقه روابط انسانی سازمانی – روابط اربعه – رابطه مدیر با خود – اصل چهارم ریاضت نفس 3- اخبار باب ریاضت – الشریعه ریاضه –</w:t>
      </w:r>
    </w:p>
    <w:bookmarkEnd w:id="0"/>
    <w:p w14:paraId="1F44B31C" w14:textId="77777777" w:rsid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</w:pPr>
      <w:r w:rsidRPr="004C2EBB">
        <w:rPr>
          <w:rFonts w:ascii="AGA Arabesque" w:hAnsi="AGA Arabesque" w:cs="Traditional Arabic"/>
          <w:sz w:val="32"/>
          <w:szCs w:val="32"/>
        </w:rPr>
        <w:t></w:t>
      </w:r>
      <w:r>
        <w:rPr>
          <w:rFonts w:ascii="AGA Arabesque" w:hAnsi="AGA Arabesque" w:cs="Traditional Arabic" w:hint="cs"/>
          <w:sz w:val="32"/>
          <w:szCs w:val="32"/>
          <w:rtl/>
        </w:rPr>
        <w:t xml:space="preserve">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مس</w:t>
      </w:r>
      <w:r w:rsidRPr="00B72153"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ئل</w:t>
      </w:r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ه</w:t>
      </w:r>
      <w:r w:rsidRPr="00B72153"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‌ی</w:t>
      </w:r>
      <w:proofErr w:type="spellEnd"/>
      <w:r w:rsidRPr="00B72153"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 xml:space="preserve"> </w:t>
      </w:r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49: مدیران در مقام مدیریت بر خویشتن باید نفس خود را به عمل دقیق به شریعت صحیح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متشرع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کنند تا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ریاضتی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که در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سایه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‌</w:t>
      </w:r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ی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تشرع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به نفس تکلیف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‌</w:t>
      </w:r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کنند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به کنترل نفس بی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fa-IR"/>
        </w:rPr>
        <w:t>ا</w:t>
      </w:r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نجامد و بدون این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تشرع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ریاضتی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منحرف و </w:t>
      </w:r>
      <w:proofErr w:type="spellStart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غیراثربخش</w:t>
      </w:r>
      <w:proofErr w:type="spellEnd"/>
      <w:r w:rsidRPr="00B72153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را تجربه خواهند نمود</w:t>
      </w:r>
    </w:p>
    <w:p w14:paraId="2997FBA3" w14:textId="77777777" w:rsid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اخبار باب ریاضت را مورد استظهار و استنباط قرار داده بودیم تا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فتوایی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مدیریت بر خویش مدیران ب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ه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دست آوریم تا آنان تقلید نمایند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حدیث عنوان بصری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E94D10">
        <w:rPr>
          <w:rFonts w:ascii="Abo-thar" w:hAnsi="Abo-thar" w:cs="Traditional Arabic"/>
          <w:sz w:val="32"/>
          <w:szCs w:val="32"/>
        </w:rPr>
        <w:t>6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به زعم شیخ عباس قمی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E94D10">
        <w:rPr>
          <w:rFonts w:ascii="Abo-thar" w:hAnsi="Abo-thar" w:cs="Traditional Arabic"/>
          <w:sz w:val="32"/>
          <w:szCs w:val="32"/>
        </w:rPr>
        <w:t>6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حدیث ریاضت نفس به طور اعم و اخص است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از قول امام صادق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 استشهاد به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تعلیل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پیامبر اعظم </w:t>
      </w:r>
      <w:r w:rsidRPr="00345741">
        <w:rPr>
          <w:rFonts w:ascii="Dorood" w:hAnsi="Dorood" w:cs="Traditional Arabic"/>
          <w:sz w:val="32"/>
          <w:szCs w:val="32"/>
        </w:rPr>
        <w:t>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متعلق ریاضت نفس را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اکل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بطن قرار داده بود که بطن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اکل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 تعمیم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داد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ظرفی که در انسان قابل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امتلاء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و فتوا این شد که مدیران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موظف به کنترل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ریاضت هر نوع ظرفیت نفسانی قابل طغیان هستند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</w:p>
    <w:p w14:paraId="469D541C" w14:textId="77777777" w:rsidR="005E4EDB" w:rsidRDefault="005E4EDB" w:rsidP="005E4EDB">
      <w:pPr>
        <w:pStyle w:val="NormalWeb"/>
        <w:bidi/>
        <w:spacing w:after="0" w:line="168" w:lineRule="auto"/>
        <w:ind w:firstLine="482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در این نوبت به فرمایش کوتاه از امیر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المومنین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پردازیم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فرمود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الشریع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الریاض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».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کلمه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طیبه دارای معنایی عمیق است و بزرگانی را در شرح آن به سعی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واداشته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 که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نوعا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ً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بر این نکته متمرکز هستند که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تعبد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عمل به شرعیات و احکام شرع امری سخت است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و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از نیت تا پایان عمل که نیاز به خلوص نیت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حضور قلب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توجه و تمرکز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دارد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تا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اثربخش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باشد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.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این فرآیند در هر عبادت و در مجموع شریعت نوعی ریاضت است برای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أ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دیب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و تدبیر نفس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به عبارتی دیگر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هر عبادت و وظیفه را تکلیف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دانیم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یعنی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ایجاد کلفت تا باعث تمرین نفس شود تا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صبغه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صیغه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ربوبی پیدا کند و رنگ و آهنگ الهی به خود بگیرد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بنا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بر این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تشرع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شریعت یعنی تکلف به تکالیف صعب که باعث ورزیدگی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آزمودگی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نفس مدیران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شود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جاست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اقوالی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 شرح این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جمله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جمیله توجه دهیم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</w:p>
    <w:p w14:paraId="1CB0A358" w14:textId="77777777" w:rsidR="005E4EDB" w:rsidRDefault="005E4EDB" w:rsidP="005E4EDB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color w:val="FF0000"/>
          <w:sz w:val="32"/>
          <w:szCs w:val="32"/>
          <w:rtl/>
          <w:lang w:bidi="fa-IR"/>
        </w:rPr>
      </w:pPr>
      <w:r w:rsidRPr="005B2BD0">
        <w:rPr>
          <w:rFonts w:ascii="Traditional Arabic" w:hAnsi="Traditional Arabic" w:cs="Traditional Arabic"/>
          <w:sz w:val="32"/>
          <w:szCs w:val="32"/>
          <w:rtl/>
        </w:rPr>
        <w:t xml:space="preserve">عن امیرالمومنین </w:t>
      </w:r>
      <w:r w:rsidRPr="00345741">
        <w:rPr>
          <w:rFonts w:ascii="Dorood" w:hAnsi="Dorood" w:cs="Traditional Arabic"/>
          <w:sz w:val="32"/>
          <w:szCs w:val="32"/>
        </w:rPr>
        <w:t></w:t>
      </w:r>
      <w:r w:rsidRPr="005B2BD0">
        <w:rPr>
          <w:rFonts w:ascii="Traditional Arabic" w:hAnsi="Traditional Arabic" w:cs="Traditional Arabic"/>
          <w:sz w:val="32"/>
          <w:szCs w:val="32"/>
          <w:rtl/>
        </w:rPr>
        <w:t xml:space="preserve"> (عالی</w:t>
      </w:r>
      <w:r>
        <w:rPr>
          <w:rFonts w:ascii="Traditional Arabic" w:hAnsi="Traditional Arabic" w:cs="Traditional Arabic" w:hint="cs"/>
          <w:sz w:val="32"/>
          <w:szCs w:val="32"/>
          <w:rtl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</w:rPr>
        <w:t xml:space="preserve">ترین مدیر تاریخ بعد از رسول خدا </w:t>
      </w:r>
      <w:r w:rsidRPr="00345741">
        <w:rPr>
          <w:rFonts w:ascii="Dorood" w:hAnsi="Dorood" w:cs="Traditional Arabic"/>
          <w:sz w:val="32"/>
          <w:szCs w:val="32"/>
        </w:rPr>
        <w:t></w:t>
      </w:r>
      <w:r w:rsidRPr="005B2BD0">
        <w:rPr>
          <w:rFonts w:ascii="Traditional Arabic" w:hAnsi="Traditional Arabic" w:cs="Traditional Arabic"/>
          <w:sz w:val="32"/>
          <w:szCs w:val="32"/>
          <w:rtl/>
        </w:rPr>
        <w:t>):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«</w:t>
      </w:r>
      <w:r w:rsidRPr="005B2BD0">
        <w:rPr>
          <w:rFonts w:ascii="Traditional Arabic" w:hAnsi="Traditional Arabic" w:cs="Traditional Arabic"/>
          <w:sz w:val="32"/>
          <w:szCs w:val="32"/>
          <w:rtl/>
        </w:rPr>
        <w:t>الشَّرِيعَةُ رِيَاضَةُ النَّفْسِ‏</w:t>
      </w:r>
      <w:r>
        <w:rPr>
          <w:rFonts w:ascii="Traditional Arabic" w:hAnsi="Traditional Arabic" w:cs="Traditional Arabic" w:hint="cs"/>
          <w:sz w:val="32"/>
          <w:szCs w:val="32"/>
          <w:rtl/>
        </w:rPr>
        <w:t>»</w:t>
      </w:r>
      <w:r w:rsidRPr="005B2BD0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1"/>
      </w:r>
      <w:r w:rsidRPr="005B2BD0">
        <w:rPr>
          <w:rFonts w:ascii="Traditional Arabic" w:hAnsi="Traditional Arabic" w:cs="Traditional Arabic"/>
          <w:sz w:val="32"/>
          <w:szCs w:val="32"/>
        </w:rPr>
        <w:t> </w:t>
      </w:r>
      <w:r w:rsidRPr="005B2BD0">
        <w:rPr>
          <w:rFonts w:ascii="Traditional Arabic" w:hAnsi="Traditional Arabic" w:cs="Traditional Arabic"/>
          <w:sz w:val="32"/>
          <w:szCs w:val="32"/>
          <w:rtl/>
        </w:rPr>
        <w:t>شريعت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5B2BD0">
        <w:rPr>
          <w:rFonts w:ascii="Traditional Arabic" w:hAnsi="Traditional Arabic" w:cs="Traditional Arabic"/>
          <w:sz w:val="32"/>
          <w:szCs w:val="32"/>
          <w:rtl/>
        </w:rPr>
        <w:t>رياضت (پرورش) نفس است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</w:rPr>
        <w:footnoteReference w:id="2"/>
      </w:r>
    </w:p>
    <w:p w14:paraId="3F773365" w14:textId="77777777" w:rsid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rtl/>
          <w:lang w:bidi="fa-IR"/>
        </w:rPr>
      </w:pP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اقوال و وجوه زیر در شرح آن یا نظیر آن گفته شده است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</w:p>
    <w:p w14:paraId="5AFB8E05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الشّريعة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النّفس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‏.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شريعت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رياضت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نفس است، «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شريعت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»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جائى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گويند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كه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مردم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آن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ا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روند از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براى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آب خوردن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يا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آب برداشتن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دين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ملّت را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نيز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گويند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ه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اعتبار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تشبيه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آن ب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ه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جاى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مذكور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</w:p>
    <w:p w14:paraId="7F8437F8" w14:textId="77777777" w:rsidR="005E4EDB" w:rsidRDefault="005E4EDB" w:rsidP="005E4EDB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color w:val="FF0000"/>
          <w:sz w:val="32"/>
          <w:szCs w:val="32"/>
          <w:rtl/>
          <w:lang w:bidi="fa-IR"/>
        </w:rPr>
      </w:pPr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در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اين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جا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ممكن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 مراد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معنى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اوّل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باشد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معنى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اين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باشد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كه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شريعت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حقيقى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جائى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كه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از آن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سيراب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توان شد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.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رياضت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فرمودن نفس و رام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كردن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آن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ا</w:t>
      </w:r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ست ب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ه </w:t>
      </w:r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اطاعت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فرمان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‌ب</w:t>
      </w:r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ردارى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حق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تعالى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امتثال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اوامر و اجتناب از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نواهى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او.</w:t>
      </w:r>
    </w:p>
    <w:p w14:paraId="0E64235A" w14:textId="77777777" w:rsidR="005E4EDB" w:rsidRDefault="005E4EDB" w:rsidP="005E4EDB">
      <w:pPr>
        <w:pStyle w:val="NormalWeb"/>
        <w:bidi/>
        <w:spacing w:after="0" w:line="168" w:lineRule="auto"/>
        <w:ind w:left="720"/>
        <w:jc w:val="both"/>
        <w:rPr>
          <w:rFonts w:ascii="Traditional Arabic" w:hAnsi="Traditional Arabic" w:cs="Traditional Arabic"/>
          <w:color w:val="FF0000"/>
          <w:sz w:val="32"/>
          <w:szCs w:val="32"/>
          <w:rtl/>
          <w:lang w:bidi="fa-IR"/>
        </w:rPr>
      </w:pP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ممكن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 مراد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معنى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د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ویّ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باشد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معنى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اين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باشد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كه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غرض از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شريعت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قرار دادن آن رام فرمودن نفس است ب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ه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اطاعت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فرمان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بردارى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امتثال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اوامر و اجتناب از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نواهى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3"/>
      </w:r>
    </w:p>
    <w:p w14:paraId="32ACE9B8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فصل‏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قالوا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علمنا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هذه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الشرعيات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فاستعملنا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هذه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العبادات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فوجدناها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راتعة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في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‏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u w:val="single"/>
          <w:rtl/>
          <w:lang w:bidi="fa-IR"/>
        </w:rPr>
        <w:t>‏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التنزه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رذائل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الأخلاق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داعية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محاسنها.و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هذا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أشار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بعضهم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فقال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إذا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فهمت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معنى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النبوة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فأكثر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النظر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القرآن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الأخبار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يحصل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لك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العلم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الضروري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بكون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محمد ص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أعلى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درجات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النبوةو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أعضد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بتجربة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قاله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العبادات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تأثيرها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تصفية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القلوب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4"/>
      </w:r>
    </w:p>
    <w:p w14:paraId="2E8F1043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قالوا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علمنا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بهذه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الشرعيات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استعلمنا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هذه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العبادات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فوجدناها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راجعة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التنزه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رذائل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الأخلاق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داعية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محاسنها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5"/>
      </w:r>
    </w:p>
    <w:p w14:paraId="416F9AB4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مغزى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الدنيا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بالاسهار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الجوع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ردع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الشهوات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الزامها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بالطاعات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القربات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غيرها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قوانين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القرآن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تخلف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سعادة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باقية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خالدة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تستلزم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حصول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كمالات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فضائل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شوهدت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صورته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الأولى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6"/>
      </w:r>
    </w:p>
    <w:p w14:paraId="718EC65A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فعلم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ممّا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ذكرنا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ونقلنا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هذه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المقدمات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أنه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لا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يحصل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خلوص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النية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الموجب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لخلوص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العمل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وإصابته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إلّابعد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وإتعابها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وشدة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حرصها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وآدابها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تحصيل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العلوم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الدينية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والمعارف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اليقينية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وتخلّيها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جميع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الرذائل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وتحلّيها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بأنواع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الفضائل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ولذا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قال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أميرالمؤمنين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وسيّد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العارفين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-صلوات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اللَّه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عليه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وعلى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أولاده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الطاهرين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-: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تصفية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العمل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أشد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العمل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وتخليص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النية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الفساد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أشد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العاملين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طول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الجهاد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7"/>
      </w:r>
    </w:p>
    <w:p w14:paraId="0D5C582B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فمن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حصل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فهو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العارف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إن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لم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يحصل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فهو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ناقص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العرفان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إن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انضم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استشعاره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جلال الله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تعالى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عظمته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رياضة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النفس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المجاهدة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الصبر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الرضا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التوكل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فقد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ارتفع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طبقة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أخرى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فإن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حصل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بعد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الحب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الوجد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فقد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ارتفع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طبقة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أخرى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فإن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حصل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بعد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الإعراض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كل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شي‏ء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سوى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الله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يصير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مسلوبا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الموجودات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كلها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فلا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يشعر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إلا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بنفسه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بالله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تعالى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فقد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ارتفع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طبقة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أخرى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هي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>أرفع</w:t>
      </w:r>
      <w:proofErr w:type="spellEnd"/>
      <w:r w:rsidRPr="00C343FF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طبقات.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8"/>
      </w:r>
    </w:p>
    <w:p w14:paraId="2AAF2BA2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سادسها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يهون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الشدائد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باحتمال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كلف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المجاهدة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‏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عمل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المشاق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4A4CC4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9"/>
      </w:r>
    </w:p>
    <w:p w14:paraId="1D29C0AB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الشيم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المرضية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‏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بالآداب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الدينية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الدقائق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الخفية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يعودهم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الصيانة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جميع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أمورهم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الكامنة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الجلية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سيما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إذا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آنس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منهم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رشدا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.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أول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يحرض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الطالب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الإخلاص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لله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تعالى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علمه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سعيه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مراقبة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الله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تعالى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جميع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اللحظات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يكون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دائما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حتى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الممات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يعرفه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بذلك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ينفتح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أبواب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المعارف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ينشرح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صدره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ينفجر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قلبه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ينابيع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الحكمة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اللطائف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يبارك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حاله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علمه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يوفق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للإصابة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قوله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فعله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حكمه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يتلو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الآثار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الواردة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ذلك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يضرب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الأمثال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الدالة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هنالك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يزهده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الدنيا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يصرفه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التعلق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بها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الركون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إليها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الاغترار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بزخرفها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يذكره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فانية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الآخرة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باقية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التأهب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للباقي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الإعراض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الفاني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هو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طريق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الحازمين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دأب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عباد الله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الصالحين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إنما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جعلت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ظرفا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مزرعة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لاقتناء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الكمال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وقتا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للعلم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العمل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ليحرز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ثمرته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دار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الإقبال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بصالح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الأعمال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0"/>
      </w:r>
    </w:p>
    <w:p w14:paraId="65D1194A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قدر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الانسان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رزقه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قدرا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مثل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قتر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قدر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عياله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قدرا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مثل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قتر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معناه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ضيق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قدرت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الشي‏ء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قدرا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التقدير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المراد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تقدير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المعيشة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هاهنا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اما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الضيق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العسرة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اما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كون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المعيشة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قدر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الكفاية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غير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تقتير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لا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توسعة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قوله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تعالى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معرض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المدح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الَّذِينَ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إِذا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أَنْفَقُوا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لَمْ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يُسْرِفُوا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لَمْ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يَقْتُرُوا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وَ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كانَ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بَيْنَ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ذلِكَ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قَواماً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(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الفرقان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- 67)،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لكل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منهما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وجه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اكتساب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العلم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فالاول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من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جهة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‏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تصفية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الذهن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ترقيق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القلب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الثانى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جهة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فراغ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البال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قلة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الاشتغال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بامور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الدنيا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1"/>
      </w:r>
    </w:p>
    <w:p w14:paraId="21C41C6D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ind w:hanging="522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لهذا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قال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الشهيدان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إنه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يحتاج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الوضوء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نية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الوجه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لأنه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مشغول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الذمة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بصلاة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واجبة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مثلا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فهو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واجب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واقعا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إلا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فهو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مندوب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فلا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يوجد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وضوء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مشكوك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حتى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يحتاج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التمييز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النية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التي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هي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مطلوبة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هي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يوقع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الفعل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لإطاعة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أمره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</w:t>
      </w: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«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لشكره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</w:t>
      </w: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«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لمحبته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</w:t>
      </w: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أو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لكونه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أهلا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أمثالها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،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هذه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أمور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عسرة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تحتاج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إلى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‏</w:t>
      </w: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بحيث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يكون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له مقصد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إلا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الله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تعالى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يكون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نظره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مقطوعا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عن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الجنة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أو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الخلاص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النار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 xml:space="preserve">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إن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الظاهر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أكثر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الناس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لم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يكلفوا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بهذه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النية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تقدم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الأخبار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قريبا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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وصف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هاتين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العبادتين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بالعبادة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لكنهما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ليستا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تنبغيان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2"/>
      </w:r>
    </w:p>
    <w:p w14:paraId="7B8354B1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ind w:hanging="522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(و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فهما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لمن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تفطن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)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الفهم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جودة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تهيؤ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الذهن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لقبول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يرد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لما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الاسلام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الدخول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‏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بقوانينه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لاتصاف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الذهن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بذلك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التهيؤ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قبوله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للانوار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العقلية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الاسرار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الربوبية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أطلق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لفظ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الفهم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مجازا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اطلاقا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لاسم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المسبب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السبب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3"/>
      </w:r>
    </w:p>
    <w:p w14:paraId="7854F4FF" w14:textId="77777777" w:rsidR="005E4EDB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ind w:hanging="522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قوله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4A4CC4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4A4CC4">
        <w:rPr>
          <w:rFonts w:ascii="Dorood" w:hAnsi="Dorood" w:cs="Traditional Arabic"/>
          <w:sz w:val="32"/>
          <w:szCs w:val="32"/>
        </w:rPr>
        <w:t></w:t>
      </w:r>
      <w:r w:rsidRPr="004A4CC4"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أشبه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الناس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طعمة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سيرة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برسول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اللّه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4A4CC4">
        <w:rPr>
          <w:rFonts w:ascii="Dorood" w:hAnsi="Dorood" w:cs="Traditional Arabic"/>
          <w:sz w:val="32"/>
          <w:szCs w:val="32"/>
        </w:rPr>
        <w:t></w:t>
      </w:r>
      <w:r w:rsidRPr="004A4CC4">
        <w:rPr>
          <w:rFonts w:ascii="Dorood" w:hAnsi="Dorood" w:cs="Traditional Arabic" w:hint="cs"/>
          <w:sz w:val="32"/>
          <w:szCs w:val="32"/>
          <w:rtl/>
        </w:rPr>
        <w:t xml:space="preserve">»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الطعمة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بالضم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المأكلة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هى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يؤكل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السيرة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الطريقة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الهيئة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الحالة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(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كان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يأكل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الخبز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الزيت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يطعم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الناس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الخبز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اللحم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)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فيه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تنبيه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رياضة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النفس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‏ و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حملها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>الرياضة</w:t>
      </w:r>
      <w:proofErr w:type="spellEnd"/>
      <w:r w:rsidRPr="004A4CC4">
        <w:rPr>
          <w:rFonts w:ascii="Traditional Arabic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قلة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الاكل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الاعتبار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بالجشب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الطعام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ايثار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الا حسن منه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العمل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لنفسه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ترك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الاستنكاف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منه‏ (و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كانت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فاطمة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4A4CC4">
        <w:rPr>
          <w:rFonts w:ascii="Dorood" w:hAnsi="Dorood" w:cs="Traditional Arabic"/>
          <w:sz w:val="32"/>
          <w:szCs w:val="32"/>
        </w:rPr>
        <w:t></w:t>
      </w:r>
      <w:r w:rsidRPr="004A4CC4">
        <w:rPr>
          <w:rFonts w:ascii="Dorood" w:hAnsi="Dorood" w:cs="Traditional Arabic" w:hint="cs"/>
          <w:sz w:val="32"/>
          <w:szCs w:val="32"/>
          <w:rtl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تطحن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)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طحنت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البر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طحنا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باب نفع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فهو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طحين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مطحون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(و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تعجن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)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عجنته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عجنا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باب ضرب و نصر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فهو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معجون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عجين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اعتمدت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بجميع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الكف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الغمز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أصل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العجن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الاعتماد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منه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قيل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للمسن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الكبير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اذا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اعتمد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بيده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على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الارض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عند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القيام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عاجن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(و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تخبز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)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خبزت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الخبز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باب ضرب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صنعته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‏ (و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ترقع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)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رقعت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الثوب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 باب منع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أصلحته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بالرقعة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هى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بالضم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ما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يرقع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الثوب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الجمع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الرقاع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بالكسر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فيه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تسلية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للمؤمنين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و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المؤمنات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فى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تحمل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أعمال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أنفسهم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‏ (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كان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وجنتيها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وردتان</w:t>
      </w:r>
      <w:proofErr w:type="spellEnd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) </w:t>
      </w:r>
      <w:proofErr w:type="spellStart"/>
      <w:r w:rsidRPr="004A4CC4">
        <w:rPr>
          <w:rFonts w:ascii="Traditional Arabic" w:hAnsi="Traditional Arabic" w:cs="Traditional Arabic"/>
          <w:sz w:val="32"/>
          <w:szCs w:val="32"/>
          <w:rtl/>
          <w:lang w:bidi="fa-IR"/>
        </w:rPr>
        <w:t>الوجنة</w:t>
      </w:r>
      <w:proofErr w:type="spellEnd"/>
      <w:r w:rsidRPr="004A4CC4"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4"/>
      </w:r>
    </w:p>
    <w:p w14:paraId="6E47CDA6" w14:textId="77777777" w:rsidR="005E4EDB" w:rsidRPr="004A4CC4" w:rsidRDefault="005E4EDB" w:rsidP="005E4EDB">
      <w:pPr>
        <w:pStyle w:val="NormalWeb"/>
        <w:numPr>
          <w:ilvl w:val="0"/>
          <w:numId w:val="5"/>
        </w:numPr>
        <w:bidi/>
        <w:spacing w:after="0" w:line="168" w:lineRule="auto"/>
        <w:ind w:hanging="522"/>
        <w:jc w:val="both"/>
        <w:rPr>
          <w:rFonts w:ascii="Traditional Arabic" w:hAnsi="Traditional Arabic" w:cs="Traditional Arabic"/>
          <w:color w:val="FF0000"/>
          <w:sz w:val="32"/>
          <w:szCs w:val="32"/>
          <w:lang w:bidi="fa-IR"/>
        </w:rPr>
      </w:pP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در اندیش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ه‌ی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عرفانی امام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 </w:t>
      </w:r>
      <w:r w:rsidRPr="00E94D10">
        <w:rPr>
          <w:rFonts w:ascii="Abo-thar" w:hAnsi="Abo-thar" w:cs="Traditional Arabic"/>
          <w:sz w:val="32"/>
          <w:szCs w:val="32"/>
        </w:rPr>
        <w:t>6</w:t>
      </w:r>
      <w:r>
        <w:rPr>
          <w:rFonts w:ascii="Abo-thar" w:hAnsi="Abo-thar" w:cs="Traditional Arabic" w:hint="cs"/>
          <w:sz w:val="32"/>
          <w:szCs w:val="32"/>
          <w:rtl/>
        </w:rPr>
        <w:t>،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اولاً ریاضت نه تنها در ظاهر شریعت، بلکه در باطن (طریقت) و باطنِ باطن شریعت (حقیقت) جریان و سریان دارد؛ ثانیاً التزام قلبی و عملی به شریعت در ریاضت باید در تمام مقامات و منازل عرفانی محفوظ باشد. بنا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 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بر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 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این شریعت‌مداری برای همه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‌ی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اصحاب ریاضت چه سالکان مجذوب و چه مجذوبان سالک در هم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ه‌ی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مقامات و منازل عرفانی مطرح و با توجه به ساحت‌ها و لایه‌های گوناگونی که دارد نافذ و کارآمد است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ایشان، ترک شریعت را در ریاضت به هر بهانه‌ای حتی به بهانه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‌ی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وصول به حقیقت، تقبیح و با اثبات رابطه ناگسستنی میان ظاهر و باطن شریعت، تأدب به آداب‌الله و تخلّق به اخلاق‌الله که ثمر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ه‌ی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 ریاضت است را جز با تمسک به آداب شریعت حقه، میسور و ممکن نمی‌دانند</w:t>
      </w:r>
      <w:r w:rsidRPr="004A4CC4">
        <w:rPr>
          <w:rFonts w:ascii="Traditional Arabic" w:hAnsi="Traditional Arabic" w:cs="Traditional Arabic"/>
          <w:sz w:val="32"/>
          <w:szCs w:val="32"/>
          <w:shd w:val="clear" w:color="auto" w:fill="FFFFFF"/>
        </w:rPr>
        <w:t>.</w:t>
      </w:r>
      <w:r w:rsidRPr="004A4CC4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5"/>
      </w:r>
    </w:p>
    <w:p w14:paraId="53A9529D" w14:textId="77777777" w:rsidR="005E4EDB" w:rsidRDefault="005E4EDB" w:rsidP="005E4EDB">
      <w:pPr>
        <w:pStyle w:val="NormalWeb"/>
        <w:bidi/>
        <w:spacing w:after="0" w:line="168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اقول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همانطور که ذکر شد و از مجموعه این آراء بدست می آید این است که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عمل دقیق به شریعت خود ریاضت نفس است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و این همان معنای مراد از علوی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«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الشریع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الریاض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ة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»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است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و مخصوصا اگر تذکر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ملاصدرا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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 ملاحظه کنیم که ریاضت نفس بدون تقدم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عقائد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صحیح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به شریعت صحیح یک انحراف مضر است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6"/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این هم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ؤ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یدی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بر تفسیر فوق است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7"/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: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ما هم این احتیاط را تحسین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کنیم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</w:p>
    <w:p w14:paraId="21D32DE0" w14:textId="77777777" w:rsidR="005E4EDB" w:rsidRPr="005B2BD0" w:rsidRDefault="005E4EDB" w:rsidP="005E4EDB">
      <w:pPr>
        <w:pStyle w:val="NormalWeb"/>
        <w:bidi/>
        <w:spacing w:after="0" w:line="168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و احتیاط دیگر این که مواظب باشیم ریاضت نفس ما را به مسلک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ضاله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صوفیه نکشاند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،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کما قیل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.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‏</w:t>
      </w:r>
      <w:r w:rsidRPr="005B2BD0"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8"/>
      </w:r>
    </w:p>
    <w:p w14:paraId="5DD35078" w14:textId="6E026BF3" w:rsidR="00DA68EC" w:rsidRPr="005B2BD0" w:rsidRDefault="005E4EDB" w:rsidP="005E4EDB">
      <w:pPr>
        <w:pStyle w:val="NormalWeb"/>
        <w:bidi/>
        <w:spacing w:after="0" w:line="168" w:lineRule="auto"/>
        <w:ind w:firstLine="482"/>
        <w:jc w:val="both"/>
        <w:rPr>
          <w:rFonts w:ascii="Traditional Arabic" w:hAnsi="Traditional Arabic" w:cs="Traditional Arabic"/>
          <w:sz w:val="32"/>
          <w:szCs w:val="32"/>
          <w:lang w:bidi="fa-IR"/>
        </w:rPr>
      </w:pP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lastRenderedPageBreak/>
        <w:t>فتحصل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 xml:space="preserve"> که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مدیران در مقام مدیریت بر خویشتن باید نفس خود را به عمل دقیق به شریعت صحیح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متشرع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کنند تا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ریاضتی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که در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سایه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تشرع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نفس تکلیف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می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‌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کنند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به کنترل نفس بی</w:t>
      </w:r>
      <w:r>
        <w:rPr>
          <w:rFonts w:ascii="Traditional Arabic" w:hAnsi="Traditional Arabic" w:cs="Traditional Arabic" w:hint="cs"/>
          <w:sz w:val="32"/>
          <w:szCs w:val="32"/>
          <w:rtl/>
          <w:lang w:bidi="fa-IR"/>
        </w:rPr>
        <w:t>ا</w:t>
      </w:r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نجامد و بدون این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تشرع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ریاضتی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منحرف و </w:t>
      </w:r>
      <w:proofErr w:type="spellStart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>غیراثربخش</w:t>
      </w:r>
      <w:proofErr w:type="spellEnd"/>
      <w:r w:rsidRPr="005B2BD0">
        <w:rPr>
          <w:rFonts w:ascii="Traditional Arabic" w:hAnsi="Traditional Arabic" w:cs="Traditional Arabic"/>
          <w:sz w:val="32"/>
          <w:szCs w:val="32"/>
          <w:rtl/>
          <w:lang w:bidi="fa-IR"/>
        </w:rPr>
        <w:t xml:space="preserve"> را تجربه خواهند نمود</w:t>
      </w:r>
      <w:r>
        <w:rPr>
          <w:rFonts w:ascii="Traditional Arabic" w:hAnsi="Traditional Arabic" w:cs="Traditional Arabic"/>
          <w:sz w:val="32"/>
          <w:szCs w:val="32"/>
          <w:rtl/>
          <w:lang w:bidi="fa-IR"/>
        </w:rPr>
        <w:t>.</w:t>
      </w:r>
      <w:r>
        <w:rPr>
          <w:rStyle w:val="FootnoteReference"/>
          <w:rFonts w:ascii="Traditional Arabic" w:hAnsi="Traditional Arabic" w:cs="Traditional Arabic"/>
          <w:sz w:val="32"/>
          <w:szCs w:val="32"/>
          <w:rtl/>
          <w:lang w:bidi="fa-IR"/>
        </w:rPr>
        <w:footnoteReference w:id="19"/>
      </w:r>
    </w:p>
    <w:sectPr w:rsidR="00DA68EC" w:rsidRPr="005B2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BD56" w14:textId="77777777" w:rsidR="000865DF" w:rsidRDefault="000865DF" w:rsidP="006136A4">
      <w:pPr>
        <w:spacing w:after="0" w:line="240" w:lineRule="auto"/>
      </w:pPr>
      <w:r>
        <w:separator/>
      </w:r>
    </w:p>
  </w:endnote>
  <w:endnote w:type="continuationSeparator" w:id="0">
    <w:p w14:paraId="6A716ADC" w14:textId="77777777" w:rsidR="000865DF" w:rsidRDefault="000865DF" w:rsidP="0061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 Arb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o-thar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B68A" w14:textId="77777777" w:rsidR="005B2BD0" w:rsidRDefault="005B2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2E07" w14:textId="77777777" w:rsidR="005B2BD0" w:rsidRDefault="005B2B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1BFC" w14:textId="77777777" w:rsidR="005B2BD0" w:rsidRDefault="005B2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C9D9" w14:textId="77777777" w:rsidR="000865DF" w:rsidRDefault="000865DF" w:rsidP="006136A4">
      <w:pPr>
        <w:spacing w:after="0" w:line="240" w:lineRule="auto"/>
      </w:pPr>
      <w:r>
        <w:separator/>
      </w:r>
    </w:p>
  </w:footnote>
  <w:footnote w:type="continuationSeparator" w:id="0">
    <w:p w14:paraId="1BF19381" w14:textId="77777777" w:rsidR="000865DF" w:rsidRDefault="000865DF" w:rsidP="006136A4">
      <w:pPr>
        <w:spacing w:after="0" w:line="240" w:lineRule="auto"/>
      </w:pPr>
      <w:r>
        <w:continuationSeparator/>
      </w:r>
    </w:p>
  </w:footnote>
  <w:footnote w:id="1">
    <w:p w14:paraId="63692260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عنه </w:t>
      </w:r>
      <w:r w:rsidRPr="005E4EDB">
        <w:rPr>
          <w:rFonts w:ascii="Dorood" w:hAnsi="Dorood" w:cs="Traditional Arabic"/>
          <w:sz w:val="26"/>
          <w:szCs w:val="26"/>
        </w:rPr>
        <w:t>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: الشَّريعَةُ رِياضَةُ النَّفسِ.</w:t>
      </w:r>
      <w:hyperlink r:id="rId1" w:tooltip="غرر الحكم : 543 ." w:history="1">
        <w:r w:rsidRPr="005E4EDB">
          <w:rPr>
            <w:rFonts w:ascii="Traditional Arabic" w:hAnsi="Traditional Arabic" w:cs="Traditional Arabic" w:hint="cs"/>
            <w:sz w:val="26"/>
            <w:szCs w:val="26"/>
            <w:rtl/>
          </w:rPr>
          <w:t xml:space="preserve"> (آمدی، </w:t>
        </w:r>
        <w:r w:rsidRPr="005E4EDB">
          <w:rPr>
            <w:rFonts w:ascii="Traditional Arabic" w:hAnsi="Traditional Arabic" w:cs="Traditional Arabic" w:hint="cs"/>
            <w:i/>
            <w:iCs/>
            <w:sz w:val="26"/>
            <w:szCs w:val="26"/>
            <w:rtl/>
          </w:rPr>
          <w:t>غ</w:t>
        </w:r>
        <w:r w:rsidRPr="005E4EDB">
          <w:rPr>
            <w:rFonts w:ascii="Traditional Arabic" w:hAnsi="Traditional Arabic" w:cs="Traditional Arabic"/>
            <w:i/>
            <w:iCs/>
            <w:sz w:val="26"/>
            <w:szCs w:val="26"/>
            <w:rtl/>
          </w:rPr>
          <w:t>رر الحكم</w:t>
        </w:r>
        <w:r w:rsidRPr="005E4EDB">
          <w:rPr>
            <w:rFonts w:ascii="Traditional Arabic" w:hAnsi="Traditional Arabic" w:cs="Traditional Arabic" w:hint="cs"/>
            <w:sz w:val="26"/>
            <w:szCs w:val="26"/>
            <w:rtl/>
          </w:rPr>
          <w:t>، ص.</w:t>
        </w:r>
        <w:r w:rsidRPr="005E4EDB">
          <w:rPr>
            <w:rFonts w:ascii="Traditional Arabic" w:hAnsi="Traditional Arabic" w:cs="Traditional Arabic"/>
            <w:sz w:val="26"/>
            <w:szCs w:val="26"/>
            <w:rtl/>
          </w:rPr>
          <w:t xml:space="preserve"> 543</w:t>
        </w:r>
        <w:r w:rsidRPr="005E4EDB">
          <w:rPr>
            <w:rFonts w:ascii="Traditional Arabic" w:hAnsi="Traditional Arabic" w:cs="Traditional Arabic" w:hint="cs"/>
            <w:sz w:val="26"/>
            <w:szCs w:val="26"/>
            <w:rtl/>
          </w:rPr>
          <w:t>؛</w:t>
        </w:r>
      </w:hyperlink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ليثى</w:t>
      </w:r>
      <w:proofErr w:type="spellEnd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واسطى</w:t>
      </w:r>
      <w:proofErr w:type="spellEnd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عيون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الحكم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و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المواعظ</w:t>
      </w:r>
      <w:proofErr w:type="spellEnd"/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40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)</w:t>
      </w:r>
    </w:p>
  </w:footnote>
  <w:footnote w:id="2">
    <w:p w14:paraId="53589A16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آمدى</w:t>
      </w:r>
      <w:proofErr w:type="spellEnd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تصنيف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غرر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الحكم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و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درر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الكلم</w:t>
      </w:r>
      <w:proofErr w:type="spellEnd"/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ص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ص</w:t>
      </w:r>
      <w:proofErr w:type="spellEnd"/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497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 514)</w:t>
      </w:r>
    </w:p>
  </w:footnote>
  <w:footnote w:id="3">
    <w:p w14:paraId="091C1656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خوانسارى</w:t>
      </w:r>
      <w:proofErr w:type="spellEnd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شرح آقا جمال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خوانسارى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بر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غرر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الحكم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و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درر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الكلم</w:t>
      </w:r>
      <w:proofErr w:type="spellEnd"/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‏1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145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4">
    <w:p w14:paraId="15919AA4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راوندى</w:t>
      </w:r>
      <w:proofErr w:type="spellEnd"/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،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الخرائج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و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الجرائح</w:t>
      </w:r>
      <w:proofErr w:type="spellEnd"/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‏3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ص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1057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5">
    <w:p w14:paraId="0DE63E4D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مجلسی،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</w:rPr>
        <w:t>بحار الأنوار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(ط بيروت)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ج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‏89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172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6">
    <w:p w14:paraId="54F0D6B4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همان،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‏7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321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7">
    <w:p w14:paraId="3669A337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سلیمانی آشتیانی،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مجموعه رسائل در شرح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احاديثى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از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كافى</w:t>
      </w:r>
      <w:proofErr w:type="spellEnd"/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‏2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108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8">
    <w:p w14:paraId="0DA73712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إبن أبی الحدید،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شرح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نهج</w:t>
      </w:r>
      <w:proofErr w:type="spellEnd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 xml:space="preserve"> </w:t>
      </w:r>
      <w:proofErr w:type="spellStart"/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  <w:lang w:bidi="fa-IR"/>
        </w:rPr>
        <w:t>البلاغة</w:t>
      </w:r>
      <w:proofErr w:type="spellEnd"/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>‏6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366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</w:footnote>
  <w:footnote w:id="9">
    <w:p w14:paraId="62F868F5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همان، ص. 368.</w:t>
      </w:r>
    </w:p>
  </w:footnote>
  <w:footnote w:id="10">
    <w:p w14:paraId="6EDF5A6A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شهید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ثانی،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</w:rPr>
        <w:t>منية المريد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189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1">
    <w:p w14:paraId="099C856E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ملاصدرا،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</w:rPr>
        <w:t>شرح أصول الكافي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‏2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46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2">
    <w:p w14:paraId="54B7763F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مجلسی،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</w:rPr>
        <w:t>روضة المتقين في شرح من لا يحضره الفقيه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(ط القديمة)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‏13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191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3">
    <w:p w14:paraId="1D402BF3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مازندرانی،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</w:rPr>
        <w:t>شرح الكافي-الأصول و الروضة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‏8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150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4">
    <w:p w14:paraId="41E2D3AE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همان، ج. 12، ص. 182.</w:t>
      </w:r>
    </w:p>
  </w:footnote>
  <w:footnote w:id="15">
    <w:p w14:paraId="35DFA236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خمینی،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>حاشیه بر فصوص الحکم محیی الدین عربی</w:t>
      </w:r>
      <w:r w:rsidRPr="005E4EDB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، ص</w:t>
      </w:r>
      <w:r w:rsidRPr="005E4EDB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.</w:t>
      </w:r>
      <w:r w:rsidRPr="005E4EDB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201</w:t>
      </w:r>
      <w:r w:rsidRPr="005E4EDB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؛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 xml:space="preserve"> اربعین حدیث</w:t>
      </w:r>
      <w:r w:rsidRPr="005E4EDB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، ص</w:t>
      </w:r>
      <w:r w:rsidRPr="005E4EDB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8</w:t>
      </w:r>
      <w:r w:rsidRPr="005E4EDB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 xml:space="preserve">؛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shd w:val="clear" w:color="auto" w:fill="FFFFFF"/>
          <w:rtl/>
        </w:rPr>
        <w:t>سرّ الصلوة</w:t>
      </w:r>
      <w:r w:rsidRPr="005E4EDB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>، ص</w:t>
      </w:r>
      <w:r w:rsidRPr="005E4EDB">
        <w:rPr>
          <w:rFonts w:ascii="Traditional Arabic" w:hAnsi="Traditional Arabic" w:cs="Traditional Arabic" w:hint="cs"/>
          <w:sz w:val="26"/>
          <w:szCs w:val="26"/>
          <w:shd w:val="clear" w:color="auto" w:fill="FFFFFF"/>
          <w:rtl/>
        </w:rPr>
        <w:t>.</w:t>
      </w:r>
      <w:r w:rsidRPr="005E4EDB">
        <w:rPr>
          <w:rFonts w:ascii="Traditional Arabic" w:hAnsi="Traditional Arabic" w:cs="Traditional Arabic"/>
          <w:sz w:val="26"/>
          <w:szCs w:val="26"/>
          <w:shd w:val="clear" w:color="auto" w:fill="FFFFFF"/>
          <w:rtl/>
        </w:rPr>
        <w:t xml:space="preserve"> 13</w:t>
      </w:r>
      <w:r w:rsidRPr="005E4EDB">
        <w:rPr>
          <w:rFonts w:ascii="Traditional Arabic" w:hAnsi="Traditional Arabic" w:cs="Traditional Arabic"/>
          <w:sz w:val="26"/>
          <w:szCs w:val="26"/>
          <w:shd w:val="clear" w:color="auto" w:fill="FFFFFF"/>
        </w:rPr>
        <w:t>.</w:t>
      </w:r>
    </w:p>
  </w:footnote>
  <w:footnote w:id="16">
    <w:p w14:paraId="5F5ECFF3" w14:textId="77777777" w:rsidR="005E4EDB" w:rsidRPr="005E4EDB" w:rsidRDefault="005E4EDB" w:rsidP="005E4EDB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و لا تنكش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ف ه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ذه المع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ارف إلا بأن يق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ع ذل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ك الإص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لاح و التط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هير عل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ى وجه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ه مأخ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وذا عن صاح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ــ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ب الشرع </w:t>
      </w:r>
      <w:r w:rsidRPr="005E4EDB">
        <w:rPr>
          <w:rFonts w:ascii="Dorood" w:hAnsi="Dorood" w:cs="Traditional Arabic"/>
          <w:sz w:val="26"/>
          <w:szCs w:val="26"/>
        </w:rPr>
        <w:t>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مع اعتقاد صحيح و لو بالسماع منه فمن اقتصر في سلوكه على مجرد العمل و الرياضة و المجاهدة من غير بصيرة و لا معرفة فالتصفية تصير وبالا عليه إذ تتحرك النفس بالخواطر الوهمية و تستولي عليه الوساوس النفسانية فيشوش القلب حيث لم يتقدم له رياضة النفس‏ بالعلوم الحقة و الأفكار الصحيحة و لم يأخذ كيفية العبادة عن صاحب الشرع و خلفائه </w:t>
      </w:r>
      <w:r w:rsidRPr="005E4EDB">
        <w:rPr>
          <w:rFonts w:ascii="Dorood" w:hAnsi="Dorood" w:cs="Traditional Arabic"/>
          <w:sz w:val="26"/>
          <w:szCs w:val="26"/>
        </w:rPr>
        <w:t></w:t>
      </w:r>
      <w:r w:rsidRPr="005E4EDB">
        <w:rPr>
          <w:rFonts w:ascii="Dorood" w:hAnsi="Dorood" w:cs="Traditional Arabic" w:hint="cs"/>
          <w:sz w:val="26"/>
          <w:szCs w:val="26"/>
          <w:rtl/>
        </w:rPr>
        <w:t>.</w:t>
      </w:r>
    </w:p>
  </w:footnote>
  <w:footnote w:id="17">
    <w:p w14:paraId="535C916A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فیض کاشانی،</w:t>
      </w:r>
      <w:r w:rsidRPr="005E4EDB">
        <w:rPr>
          <w:rFonts w:ascii="Traditional Arabic" w:hAnsi="Traditional Arabic" w:cs="Traditional Arabic"/>
          <w:i/>
          <w:iCs/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/>
          <w:i/>
          <w:iCs/>
          <w:sz w:val="26"/>
          <w:szCs w:val="26"/>
          <w:rtl/>
        </w:rPr>
        <w:t>الوافي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ج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‏1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، ص.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200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</w:footnote>
  <w:footnote w:id="18">
    <w:p w14:paraId="21437E2E" w14:textId="77777777" w:rsidR="005E4EDB" w:rsidRPr="005E4EDB" w:rsidRDefault="005E4EDB" w:rsidP="005E4EDB">
      <w:pPr>
        <w:pStyle w:val="NormalWeb"/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5E4EDB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ان قلت: لا نسلّم أنّ المعرفة لا تتمّ إلّا بالنظر كما ادّعيتم بل قد تحصل بالتصفية فانّ رياضة النفس‏ بالمجاهدات و تجريدها عن الكدورات البشريّة و العوائق الجسدية و التوجّه إلى الحضرة الصّمدية و التزام الخلوة و المواظبة على الذّكر و الطاعة تفيد العقائد الحقّة الّتي لا يحوم حولها شائبة رائبة، و أما أصحاب النظر فيعرض لهم في عقايدهم الشّكوك و الشّبهات النّاشئة من أدلّة الخصم.</w:t>
      </w:r>
      <w:r w:rsidRPr="005E4EDB">
        <w:rPr>
          <w:rFonts w:ascii="Traditional Arabic" w:hAnsi="Traditional Arabic" w:cs="Traditional Arabic"/>
          <w:sz w:val="26"/>
          <w:szCs w:val="26"/>
          <w:vertAlign w:val="superscript"/>
          <w:rtl/>
        </w:rPr>
        <w:footnoteRef/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قلنا: هى يحتاج إلى معونة النظر ألا ترى أنّ رياضة المبطلين من اليهود و النصارى يؤدّيهم إلى عقايد باطلة، فلابدّ من الاستعانة بالنظر أو قلنا المراد أنّه لا مقدور لنا من طرق المعرفة إلّا النظر فانّ التّصفية كما هو حقّها تحتاج إلى مجاهدات شاقّة و مخاطرات كثيرة قلّما يفي من المزاج فهى في حكم ما لا يكون مقدورا.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و منهم الفخر الرازي في المسألة الحادية و الثلاثين في النّبوّة من كتابه المسمّى بالأربعين قال: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اعلم أنّ الّذين ينكرون نبوّة محمّد صلّى اللّه عليه و آله و سلّم طوايف، ثمّ تعرّض لذكرها إلى أن قال: الطايفة السادسة جمع من الصوفيّة يقولون: الاشتغال بغير اللّه حجاب عن‏معرفة اللّه تعالى، و الأنبياء يدعون الخلق إلى الطاعات و التكاليف، فهم يشتغلون الخلق بغير اللّه و يمنعونهم عن الاشتغال باللّه فوجب أن لا يكون حقا و صدقا.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و منهم الدّميرى في كتاب حياة الحيوان في باب العين المهملة عند ذكر العجل قال: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«فايدة» نقل القرطبى عن أبي بكر الطرطوشى أنّه سئل عن قوم يجتمعون في مكان يقرءون شيئا من القرآن ثمّ ينشد لهم منشد شيئا من الشعر فيرقصون و يطربون و يضربون بالدّف و الشبابة هل الحضور معهم حلال أم لا؟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فقال: مذهب الصوفية بطالة و جهالة و ضلالة، و ما الاسلام إلّا كتاب اللّه و سنّة رسول اللّه، و أما الرّقص و التواجد فأوّل من أحدثه أصحاب السامرى لما اتّخذ لهم عجلا جسدا له خوار، قاموا يرقصون حوله و يتواجدون، فهو دين الكفار و عبّاد العجل، و إنما كان مجلس النبيّ صلّى اللّه عليه و آله و سلّم مع أصحابه كأنما على رؤوسهم الطير من الوقار فينبغى للسلطان و نوّابه أن يمنعوهم من الحضور في المساجد و غيرها و لا يحلّ لأحد يؤمن باللّه و اليوم الاخر أن يحضر معهم و لا يعينهم على باطلهم، هذا مذهب مالك و الشافعى و أبي حنيفة و أحمد و غيرهم من أئمة المسلمين.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و منهم محمّد بن محمّد بن محمّد المحدّث البخارى المعروف في كتابه الذى سماه فاضحة الملحدين و ناصحة الموحّدين، قال: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>ثمّ إن اولئك الملحدين الّذين هم إخوان الشياطين يخدعون الجاهلين بتمسّكهم في ذلك الضلال المبين بقوله تعالى: وَ لِلَّهِ الْمَشْرِقُ وَ الْمَغْرِبُ فَأَيْنَما تُوَلُّوا فَثَمَّ وَجْهُ اللَّهِ‏، و بقوله تعالى: وَ قَضى‏ رَبُّكَ أَلَّا تَعْبُدُوا إِلَّا إِيَّاهُ‏.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</w:p>
    <w:p w14:paraId="354C690D" w14:textId="77777777" w:rsidR="005E4EDB" w:rsidRPr="005E4EDB" w:rsidRDefault="005E4EDB" w:rsidP="005E4EDB">
      <w:pPr>
        <w:bidi/>
        <w:spacing w:after="0" w:line="168" w:lineRule="auto"/>
        <w:jc w:val="both"/>
        <w:rPr>
          <w:rFonts w:ascii="Traditional Arabic" w:eastAsia="Calibri" w:hAnsi="Traditional Arabic" w:cs="Traditional Arabic"/>
          <w:sz w:val="26"/>
          <w:szCs w:val="26"/>
        </w:rPr>
      </w:pPr>
      <w:r w:rsidRPr="005E4EDB">
        <w:rPr>
          <w:rFonts w:ascii="Traditional Arabic" w:hAnsi="Traditional Arabic" w:cs="Traditional Arabic"/>
          <w:sz w:val="26"/>
          <w:szCs w:val="26"/>
          <w:rtl/>
        </w:rPr>
        <w:t>‏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ریاضت مشخصه مهم عرفان</w:t>
      </w:r>
    </w:p>
    <w:p w14:paraId="4F66F65B" w14:textId="77777777" w:rsidR="005E4EDB" w:rsidRPr="005E4EDB" w:rsidRDefault="005E4EDB" w:rsidP="005E4EDB">
      <w:pPr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اعتقاد به ریاضت و مجاهده از مشخصه عمده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عرفان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باشد و البته در کلمات حضرت علی </w:t>
      </w:r>
      <w:r w:rsidRPr="005E4EDB">
        <w:rPr>
          <w:rFonts w:ascii="Dorood" w:hAnsi="Dorood" w:cs="Traditional Arabic"/>
          <w:sz w:val="26"/>
          <w:szCs w:val="26"/>
        </w:rPr>
        <w:t>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هم ریاضت به عنوان یک امر مهم تلقی شده است</w:t>
      </w:r>
      <w:r w:rsidRPr="005E4EDB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«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الشریعة ریاضة النف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س»، «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من استدام ریاضة نفسه انتفع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»، «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لقاح الریاضة دراسة الحکمة و غلبة العاد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ة».</w:t>
      </w:r>
      <w:r w:rsidRPr="005E4EDB">
        <w:rPr>
          <w:rFonts w:ascii="Traditional Arabic" w:eastAsia="Times New Roman" w:hAnsi="Traditional Arabic" w:cs="Traditional Arabic"/>
          <w:sz w:val="26"/>
          <w:szCs w:val="26"/>
        </w:rPr>
        <w:t> 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لذا درباره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خویش فرمود: «هی نفسی اروضها بالتقوی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».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منتهی در اسلام چون انجام واجبات مشقتی نداشت، عرفا نوافل را در برنامه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ریاضت خود گنجاندند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البته دو گونه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دیگر از ریاضت هم مطرح شد که در بعضی از موارد با نظر اسلام سازگار نبود: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سختی دادن به تن: اسلام با این برنامه مخالف است و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گوید بدنت بر تو حقی دارد و لذاست که پیامبر </w:t>
      </w:r>
      <w:r w:rsidRPr="005E4EDB">
        <w:rPr>
          <w:rFonts w:ascii="Dorood" w:hAnsi="Dorood" w:cs="Traditional Arabic"/>
          <w:sz w:val="26"/>
          <w:szCs w:val="26"/>
        </w:rPr>
        <w:t></w:t>
      </w:r>
      <w:r w:rsidRPr="005E4EDB">
        <w:rPr>
          <w:rFonts w:ascii="Dorood" w:hAnsi="Dorood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از عمل عده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ای که خواستند ریاضت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های شاقه را بر خود وارد کنند نهی فرمود</w:t>
      </w:r>
      <w:r w:rsidRPr="005E4EDB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بر خلاف میل نفس رفتار کردن: البته این کار خوبی است اما همان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طوری که قبلا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ً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مطرح شد برای عده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ای میل نفس در مرحله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‌ی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عالی، به عنوان دشمن تلقی شد و عده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ای مبارزه با نفس را مبارزه با این خود (خود واقعی) هم انگاشتند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؛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مثلا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ً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نفسی که دلش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خواهد آبرو داشته باشد، باید کاری کرد که آبرو نداشته باشد و خلاصه این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که باید با این میل هم مبارزه شود و بر خلاف آن رفتار شود</w:t>
      </w:r>
      <w:r w:rsidRPr="005E4EDB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عده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ای از صوفیه به همین بهانه، حاضر شدند که دیگران شخصیت و کرامت آن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ها را لگدمال کنند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ملامتیه که ظاهرا حافظ هم از این دسته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باشد برای مبارزه با غرور، با این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که خود آدم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های بدی نبودند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تظاهر به فسق و فجور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کردند، تا با این خواسته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نفس که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خواهم آبرو داشته باشم، مبارزه کرده باشند و عده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ای دیگر هم برای کوبیدن نفس تن به دریوزگی و گدایی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دادند، ولی اسلام با همه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این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ها مخالف بود و هست چون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گوید اگر تو آدم بدی باشی و تظاهر کنی که خوبی این ریاست و دروغ، اگر آدم خوبی باشی و تظاهر کنی که بد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باشی، باز تظاهر و دروغ است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تو حق نداری عزت خود را لگد مال کنی و آبروی خودت را ببری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رسول اکرم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5E4EDB">
        <w:rPr>
          <w:rFonts w:ascii="Dorood" w:hAnsi="Dorood" w:cs="Traditional Arabic"/>
          <w:sz w:val="26"/>
          <w:szCs w:val="26"/>
        </w:rPr>
        <w:t>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م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ی‌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فرماید: «اطلبوا الحوائج بعزة الانفس فان الامور تجری بالمقادیر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».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حضرت امیر </w:t>
      </w:r>
      <w:r w:rsidRPr="005E4EDB">
        <w:rPr>
          <w:rFonts w:ascii="Dorood" w:hAnsi="Dorood" w:cs="Traditional Arabic"/>
          <w:sz w:val="26"/>
          <w:szCs w:val="26"/>
        </w:rPr>
        <w:t>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در این رابطه 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فرماید که: «الموت فی حیاتکم مقهورین و الحیاة فی موتکم قاهرین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»، «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المنیة و لا الدنیة و التقلل و لا التوسل». یعنی مرگ آری ولی پستی نه با کم ساختن آری اما دست نیاز به جانب دیگران دراز کردن، نه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مرا عار آید از این زندگی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/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که سالار باشم کنم بندگی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؛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تن مرده و گریه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دوستان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/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به از زنده و خنده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‌ی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دشمنان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؛ «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ساعة ذل لا تفی بعز الدهر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؛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ساعتی ذلیل بودن برابری نمی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کند با عزیز بودن در روزگاری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». «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عز المومن غناه عن الناس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؛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عزت م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ؤ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من در بی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نیازی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‌ا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ش از مردم اس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ت»</w:t>
      </w:r>
      <w:r w:rsidRPr="005E4EDB">
        <w:rPr>
          <w:rFonts w:ascii="Traditional Arabic" w:eastAsia="Times New Roman" w:hAnsi="Traditional Arabic" w:cs="Traditional Arabic"/>
          <w:sz w:val="26"/>
          <w:szCs w:val="26"/>
        </w:rPr>
        <w:t>.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(آمدی، </w:t>
      </w:r>
      <w:r w:rsidRPr="005E4EDB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غرر الحکم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، 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ج. 1،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ص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ص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. 238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394؛ </w:t>
      </w:r>
      <w:r w:rsidRPr="005E4EDB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نهج البلاغه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نامه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‌ی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45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خطبه‌ی 51، حکمت 396؛ پاینده، </w:t>
      </w:r>
      <w:r w:rsidRPr="005E4EDB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نهج الفصاحه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ح. 325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؛ ناظم‌زاده قمی، </w:t>
      </w:r>
      <w:r w:rsidRPr="005E4EDB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جلوه</w:t>
      </w:r>
      <w:r w:rsidRPr="005E4EDB">
        <w:rPr>
          <w:rFonts w:ascii="Traditional Arabic" w:eastAsia="Times New Roman" w:hAnsi="Traditional Arabic" w:cs="Traditional Arabic" w:hint="cs"/>
          <w:i/>
          <w:iCs/>
          <w:sz w:val="26"/>
          <w:szCs w:val="26"/>
          <w:rtl/>
        </w:rPr>
        <w:t>‌</w:t>
      </w:r>
      <w:r w:rsidRPr="005E4EDB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های حکمت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</w:t>
      </w:r>
      <w:r w:rsidRPr="005E4EDB">
        <w:rPr>
          <w:rFonts w:ascii="Traditional Arabic" w:eastAsia="Times New Roman" w:hAnsi="Traditional Arabic" w:cs="Traditional Arabic"/>
          <w:sz w:val="26"/>
          <w:szCs w:val="26"/>
          <w:rtl/>
        </w:rPr>
        <w:t>موضوع 146 ح. 8</w:t>
      </w:r>
      <w:r w:rsidRPr="005E4EDB">
        <w:rPr>
          <w:rFonts w:ascii="Traditional Arabic" w:eastAsia="Times New Roman" w:hAnsi="Traditional Arabic" w:cs="Traditional Arabic" w:hint="cs"/>
          <w:sz w:val="26"/>
          <w:szCs w:val="26"/>
          <w:rtl/>
        </w:rPr>
        <w:t>)</w:t>
      </w:r>
    </w:p>
  </w:footnote>
  <w:footnote w:id="19">
    <w:p w14:paraId="3C05EAB5" w14:textId="77777777" w:rsidR="005E4EDB" w:rsidRPr="005E4EDB" w:rsidRDefault="005E4EDB" w:rsidP="005E4EDB">
      <w:pPr>
        <w:pStyle w:val="FootnoteText"/>
        <w:bidi/>
        <w:rPr>
          <w:rFonts w:hint="cs"/>
          <w:sz w:val="26"/>
          <w:szCs w:val="26"/>
          <w:rtl/>
        </w:rPr>
      </w:pPr>
      <w:r w:rsidRPr="005E4EDB">
        <w:rPr>
          <w:rStyle w:val="FootnoteReference"/>
          <w:sz w:val="26"/>
          <w:szCs w:val="26"/>
        </w:rPr>
        <w:footnoteRef/>
      </w:r>
      <w:r w:rsidRPr="005E4EDB">
        <w:rPr>
          <w:sz w:val="26"/>
          <w:szCs w:val="26"/>
        </w:rPr>
        <w:t xml:space="preserve"> 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49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10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شهر جمادی </w:t>
      </w:r>
      <w:r w:rsidRPr="005E4EDB">
        <w:rPr>
          <w:rFonts w:ascii="Traditional Arabic" w:hAnsi="Traditional Arabic" w:cs="Traditional Arabic" w:hint="cs"/>
          <w:sz w:val="26"/>
          <w:szCs w:val="26"/>
          <w:rtl/>
        </w:rPr>
        <w:t>الثانی</w:t>
      </w:r>
      <w:r w:rsidRPr="005E4EDB">
        <w:rPr>
          <w:rFonts w:ascii="Traditional Arabic" w:hAnsi="Traditional Arabic" w:cs="Traditional Arabic"/>
          <w:sz w:val="26"/>
          <w:szCs w:val="26"/>
          <w:rtl/>
        </w:rPr>
        <w:t xml:space="preserve"> 1447.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4102" w14:textId="77777777" w:rsidR="005B2BD0" w:rsidRDefault="005B2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1FDF" w14:textId="77777777" w:rsidR="005B2BD0" w:rsidRDefault="005B2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D749" w14:textId="77777777" w:rsidR="005B2BD0" w:rsidRDefault="005B2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DAD"/>
    <w:multiLevelType w:val="hybridMultilevel"/>
    <w:tmpl w:val="182C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447A"/>
    <w:multiLevelType w:val="hybridMultilevel"/>
    <w:tmpl w:val="7E701B6A"/>
    <w:lvl w:ilvl="0" w:tplc="C9D8FAA2">
      <w:start w:val="1"/>
      <w:numFmt w:val="decimal"/>
      <w:lvlText w:val="%1-"/>
      <w:lvlJc w:val="left"/>
      <w:pPr>
        <w:ind w:left="720" w:hanging="360"/>
      </w:pPr>
      <w:rPr>
        <w:rFonts w:hint="default"/>
        <w:color w:val="64287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CDA"/>
    <w:multiLevelType w:val="hybridMultilevel"/>
    <w:tmpl w:val="A1CC90D2"/>
    <w:lvl w:ilvl="0" w:tplc="C9D8FAA2">
      <w:start w:val="1"/>
      <w:numFmt w:val="decimal"/>
      <w:lvlText w:val="%1-"/>
      <w:lvlJc w:val="left"/>
      <w:pPr>
        <w:ind w:left="720" w:hanging="360"/>
      </w:pPr>
      <w:rPr>
        <w:rFonts w:hint="default"/>
        <w:color w:val="64287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4E0A"/>
    <w:multiLevelType w:val="hybridMultilevel"/>
    <w:tmpl w:val="BC349BD8"/>
    <w:lvl w:ilvl="0" w:tplc="6E342B90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color w:val="465BF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A56"/>
    <w:multiLevelType w:val="hybridMultilevel"/>
    <w:tmpl w:val="5A42FC0E"/>
    <w:lvl w:ilvl="0" w:tplc="C9D8FAA2">
      <w:start w:val="1"/>
      <w:numFmt w:val="decimal"/>
      <w:lvlText w:val="%1-"/>
      <w:lvlJc w:val="left"/>
      <w:pPr>
        <w:ind w:left="720" w:hanging="360"/>
      </w:pPr>
      <w:rPr>
        <w:rFonts w:hint="default"/>
        <w:color w:val="64287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B2"/>
    <w:rsid w:val="000865DF"/>
    <w:rsid w:val="00171EFF"/>
    <w:rsid w:val="0024106D"/>
    <w:rsid w:val="0027592C"/>
    <w:rsid w:val="002D2C97"/>
    <w:rsid w:val="0050163C"/>
    <w:rsid w:val="0054362C"/>
    <w:rsid w:val="00571EE8"/>
    <w:rsid w:val="005733C5"/>
    <w:rsid w:val="005B2BD0"/>
    <w:rsid w:val="005E4EDB"/>
    <w:rsid w:val="006136A4"/>
    <w:rsid w:val="006A7023"/>
    <w:rsid w:val="006F68B2"/>
    <w:rsid w:val="0083590A"/>
    <w:rsid w:val="008D1873"/>
    <w:rsid w:val="008D2FC8"/>
    <w:rsid w:val="009165FD"/>
    <w:rsid w:val="0093792B"/>
    <w:rsid w:val="00A5395F"/>
    <w:rsid w:val="00C4253A"/>
    <w:rsid w:val="00CA6292"/>
    <w:rsid w:val="00D8235C"/>
    <w:rsid w:val="00DA68EC"/>
    <w:rsid w:val="00E333DA"/>
    <w:rsid w:val="00EC0322"/>
    <w:rsid w:val="00F26DD3"/>
    <w:rsid w:val="00F37EFE"/>
    <w:rsid w:val="00F44D85"/>
    <w:rsid w:val="00FD36EE"/>
    <w:rsid w:val="00FD510F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CB5F76"/>
  <w15:chartTrackingRefBased/>
  <w15:docId w15:val="{62BAC72D-C0E2-4732-B70C-558D3337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 Char Char Char Char,Footnote Text Char1 Char Char Char,Footnote Text Char1 Char Char"/>
    <w:basedOn w:val="Normal"/>
    <w:link w:val="FootnoteTextChar"/>
    <w:uiPriority w:val="99"/>
    <w:unhideWhenUsed/>
    <w:qFormat/>
    <w:rsid w:val="006136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A4"/>
    <w:rPr>
      <w:sz w:val="20"/>
      <w:szCs w:val="20"/>
    </w:rPr>
  </w:style>
  <w:style w:type="character" w:styleId="FootnoteReference">
    <w:name w:val="footnote reference"/>
    <w:aliases w:val="Footnote Reference*"/>
    <w:basedOn w:val="DefaultParagraphFont"/>
    <w:uiPriority w:val="99"/>
    <w:unhideWhenUsed/>
    <w:rsid w:val="006136A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36A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5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BD0"/>
  </w:style>
  <w:style w:type="paragraph" w:styleId="Footer">
    <w:name w:val="footer"/>
    <w:basedOn w:val="Normal"/>
    <w:link w:val="FooterChar"/>
    <w:uiPriority w:val="99"/>
    <w:unhideWhenUsed/>
    <w:rsid w:val="005B2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BD0"/>
  </w:style>
  <w:style w:type="character" w:customStyle="1" w:styleId="FootnoteTextChar2">
    <w:name w:val="Footnote Text Char2"/>
    <w:aliases w:val="Footnote Text Char1 Char Char Char Char Char1,Footnote Text Char1 Char Char Char Char2,Footnote Text Char1 Char Char Char2"/>
    <w:uiPriority w:val="99"/>
    <w:rsid w:val="005E4EDB"/>
    <w:rPr>
      <w:rFonts w:cs="B Lotus Ar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058">
          <w:marLeft w:val="0"/>
          <w:marRight w:val="0"/>
          <w:marTop w:val="0"/>
          <w:marBottom w:val="0"/>
          <w:divBdr>
            <w:top w:val="none" w:sz="0" w:space="0" w:color="03BB5E"/>
            <w:left w:val="none" w:sz="0" w:space="0" w:color="03BB5E"/>
            <w:bottom w:val="single" w:sz="6" w:space="0" w:color="03BB5E"/>
            <w:right w:val="none" w:sz="0" w:space="0" w:color="03BB5E"/>
          </w:divBdr>
          <w:divsChild>
            <w:div w:id="1694572148">
              <w:marLeft w:val="0"/>
              <w:marRight w:val="0"/>
              <w:marTop w:val="0"/>
              <w:marBottom w:val="0"/>
              <w:divBdr>
                <w:top w:val="none" w:sz="0" w:space="4" w:color="03BB5E"/>
                <w:left w:val="none" w:sz="0" w:space="0" w:color="03BB5E"/>
                <w:bottom w:val="single" w:sz="18" w:space="4" w:color="03BB5E"/>
                <w:right w:val="none" w:sz="0" w:space="0" w:color="03BB5E"/>
              </w:divBdr>
            </w:div>
          </w:divsChild>
        </w:div>
        <w:div w:id="1151946542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3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0" w:color="B2B2B2"/>
                <w:right w:val="none" w:sz="0" w:space="0" w:color="auto"/>
              </w:divBdr>
              <w:divsChild>
                <w:div w:id="14723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14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adithlib.com/hadithtxts/view/2100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4C25-D332-4066-A18D-BF582D8C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Webhouse</cp:lastModifiedBy>
  <cp:revision>14</cp:revision>
  <dcterms:created xsi:type="dcterms:W3CDTF">2025-11-30T12:36:00Z</dcterms:created>
  <dcterms:modified xsi:type="dcterms:W3CDTF">2025-12-04T04:07:00Z</dcterms:modified>
</cp:coreProperties>
</file>