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26A7" w:rsidRPr="007D71D3" w:rsidRDefault="007926A7" w:rsidP="003C16ED">
      <w:pPr>
        <w:widowControl w:val="0"/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bookmarkStart w:id="0" w:name="_Hlk213836399"/>
      <w:r w:rsidRPr="007D71D3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4شنبه 21/8/1404-21جمادی الاولی 1447- 12نوامبر 2025 – درس 39 فقه الاداره – فقه مدیریت رفتار سازمانی – فقه روابط انسانی در سازمان –</w:t>
      </w:r>
      <w:r w:rsidR="009C0AEF" w:rsidRPr="007D71D3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روابط</w:t>
      </w:r>
      <w:r w:rsidRPr="007D71D3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اربعه – دوم رابطه با خود – اصل دوم جهد </w:t>
      </w:r>
      <w:r w:rsidRPr="007D71D3">
        <w:rPr>
          <w:rStyle w:val="FootnoteReference"/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footnoteReference w:id="1"/>
      </w:r>
      <w:r w:rsidRPr="007D71D3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– جهاد نفس – روش جهاد نفس – نقشه راه امام خمینی ره – مقام دوم – مقام ملکوت – فصل اول</w:t>
      </w:r>
      <w:r w:rsidR="00007EDA" w:rsidRPr="007D71D3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 xml:space="preserve"> </w:t>
      </w:r>
      <w:r w:rsidRPr="007D71D3">
        <w:rPr>
          <w:rFonts w:ascii="Traditional Arabic" w:hAnsi="Traditional Arabic" w:cs="Traditional Arabic"/>
          <w:sz w:val="32"/>
          <w:szCs w:val="32"/>
          <w:highlight w:val="yellow"/>
          <w:rtl/>
          <w:lang w:bidi="fa-IR"/>
        </w:rPr>
        <w:t>–</w:t>
      </w:r>
      <w:r w:rsidR="00007EDA" w:rsidRPr="007D71D3">
        <w:rPr>
          <w:rFonts w:ascii="Traditional Arabic" w:eastAsia="Times New Roman" w:hAnsi="Traditional Arabic" w:cs="Traditional Arabic"/>
          <w:b/>
          <w:bCs/>
          <w:kern w:val="36"/>
          <w:sz w:val="32"/>
          <w:szCs w:val="32"/>
          <w:highlight w:val="yellow"/>
          <w:rtl/>
        </w:rPr>
        <w:t xml:space="preserve"> </w:t>
      </w:r>
      <w:r w:rsidR="009C0AEF" w:rsidRPr="007D71D3">
        <w:rPr>
          <w:rFonts w:ascii="Traditional Arabic" w:eastAsia="Times New Roman" w:hAnsi="Traditional Arabic" w:cs="Traditional Arabic"/>
          <w:b/>
          <w:bCs/>
          <w:kern w:val="36"/>
          <w:sz w:val="32"/>
          <w:szCs w:val="32"/>
          <w:highlight w:val="yellow"/>
          <w:rtl/>
        </w:rPr>
        <w:t>نزاع جنود رحمانی و شیطانی باطنی نفس</w:t>
      </w:r>
    </w:p>
    <w:bookmarkEnd w:id="0"/>
    <w:p w:rsidR="003C16ED" w:rsidRPr="00275312" w:rsidRDefault="003C16ED" w:rsidP="003C16ED">
      <w:pPr>
        <w:bidi/>
        <w:spacing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4C2EBB">
        <w:rPr>
          <w:rFonts w:ascii="AGA Arabesque" w:hAnsi="AGA Arabesque" w:cs="Traditional Arabic"/>
          <w:sz w:val="32"/>
          <w:szCs w:val="32"/>
        </w:rPr>
        <w:t></w:t>
      </w:r>
      <w:r>
        <w:rPr>
          <w:rFonts w:ascii="AGA Arabesque" w:hAnsi="AGA Arabesque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مس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ئ</w:t>
      </w:r>
      <w:r w:rsidRPr="00275312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له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39:</w:t>
      </w:r>
      <w:r w:rsidRPr="0027531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وظیفه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اصلی کارکنان ب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ه‌</w:t>
      </w:r>
      <w:r w:rsidRPr="0027531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ویژه مدیران اصلاح مملکت و سازمان باطن است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نه فقط اصلاح ظاهر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ِ </w:t>
      </w:r>
      <w:r w:rsidRPr="0027531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خود و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سازمان با وجود تباهی باطن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و این اصلاح مضاعف، شرطی از شرائط</w:t>
      </w:r>
      <w:r w:rsidRPr="00275312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اثربخشی تدبیر نفس است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</w:p>
    <w:p w:rsidR="003C16ED" w:rsidRDefault="003C16ED" w:rsidP="003C16ED">
      <w:pPr>
        <w:widowControl w:val="0"/>
        <w:bidi/>
        <w:spacing w:line="168" w:lineRule="auto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طبق نقشه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راه جهاد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نفس امام خمینی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</w:t>
      </w:r>
      <w:r w:rsidRPr="00275312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2"/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در </w:t>
      </w:r>
      <w:r w:rsidRPr="00275312">
        <w:rPr>
          <w:rFonts w:ascii="Traditional Arabic" w:eastAsia="Calibri" w:hAnsi="Traditional Arabic" w:cs="Traditional Arabic"/>
          <w:i/>
          <w:iCs/>
          <w:sz w:val="32"/>
          <w:szCs w:val="32"/>
          <w:rtl/>
        </w:rPr>
        <w:t>شرح اربعین حدیث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در حدیث جهاد نفس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مقام اول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یعنی مقام 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ُ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لک که همان مقام صف است و عملیات در اقالیم سبعه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است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که دارای چهار فصل تفکر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،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عزم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مشارطه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تذکر بود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در مقام دوم که مقام ستاد عملیات و مرکز فرماندهی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است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با عنوان مملکت باطن 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یا ملکوت که مر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ک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ز قوای سه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گانه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وهمیه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غضبیه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شهویه است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چند ف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ص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ل است که عبارت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‌ا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ند از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: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قوای باطنیه، جلوگیری انبیاء از اطلاق طبیعت، ضبط خیال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موازنه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معالجه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مفاسد اخلاقیه.</w:t>
      </w:r>
    </w:p>
    <w:p w:rsidR="003C16ED" w:rsidRDefault="003C16ED" w:rsidP="003C16ED">
      <w:pPr>
        <w:widowControl w:val="0"/>
        <w:bidi/>
        <w:spacing w:line="168" w:lineRule="auto"/>
        <w:ind w:firstLine="482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جنود رحمانی و شیطانی برای تصرف پایتخت مملکت نفس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،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>یعنی نشئه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t xml:space="preserve"> ملکوت با هم نزاع سختی در این 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</w:rPr>
        <w:lastRenderedPageBreak/>
        <w:t>مرکز حساس دارند</w:t>
      </w:r>
      <w:r w:rsidRPr="00275312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3"/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قوه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وهم که قوه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شیطنت و قدرت است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دو قوه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غصبیه و شهویه</w:t>
      </w:r>
      <w:r w:rsidRPr="00275312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4"/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را در اختیار دارد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lastRenderedPageBreak/>
        <w:t>اگر عقل بر وهم مسلط شود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(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به کمک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جنود و جیوش رحمانی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)،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پایتخت در اختیار عقل قرار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گیرد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والا در اختیار جهل واقع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شود و نظام باطنی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نظام جاهلی خواهد شد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نه عقلی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شرعی و مدینی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در جهاد نفس 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ُ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لک و ملکوت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یعنی صف 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ستاد با هم تسخیر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شوند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اقالیم سبعه اول و قوای سه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گانه دوم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اول شهرها بعد پایتخت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ممکن است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به‌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عکس باشد.</w:t>
      </w:r>
      <w:r w:rsidRPr="00275312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5"/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</w:p>
    <w:p w:rsidR="003C16ED" w:rsidRDefault="003C16ED" w:rsidP="003C16ED">
      <w:pPr>
        <w:bidi/>
        <w:spacing w:line="168" w:lineRule="auto"/>
        <w:ind w:firstLine="482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اصل مهم: صورت واقعی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شخص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حقیقی و حقوقی که صورت برزخی و قیامتی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اوست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صورت باطنی است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که ب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ا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آن محشور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شود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ممکن است صورت مُلکی زیبا و صورت ملکوتی زشت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و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مثل بهائم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،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سباع و شیاطین باشد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کما این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که ممکن است زیبایی وصف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ناشدنی مطابق بهشت او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داشته باشد.</w:t>
      </w:r>
      <w:r w:rsidRPr="00275312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6"/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لذا باید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در جهاد نفس از سقوط باطن 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قوای آن جلوگیری نمود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به کمک جنود عقل و رحمان آن را در اختیار 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ولایت شرع قرار داد تا صورت باطنی مثل ظاهری زیبا شود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والا مدیری با ظاهری نیکو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ولی باطنی نانیکو می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شود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ظاهری بینا 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باطنی نابینا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>
        <w:rPr>
          <w:rStyle w:val="FootnoteReference"/>
          <w:rFonts w:ascii="Traditional Arabic" w:eastAsia="Calibri" w:hAnsi="Traditional Arabic"/>
          <w:sz w:val="32"/>
          <w:rtl/>
        </w:rPr>
        <w:footnoteReference w:id="7"/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 آن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که برای خدا مهم است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باطن است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لذا باید با چنگ و دندان و جنگ و جهاد آن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را از سقوط در دامان جهل نجات داد و نگذاشت رژیم جاهلی بر مملکت و سازمان نفس حاکم شود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.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سازمان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ها هم دو بعد و دو صورت ملکی و ملکوتی دارند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.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اقالیم سبعه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ولو در ولایت شیطان باشد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ممکن است ظاهر زیبای خود را حفظ کند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ولی صورت ملکوتی سازمان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زشت و دهشت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زا باشد که خوک و میمون در مقابل آن زیباتر به نظر آید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  <w:r>
        <w:rPr>
          <w:rStyle w:val="FootnoteReference"/>
          <w:rFonts w:ascii="Traditional Arabic" w:eastAsia="Calibri" w:hAnsi="Traditional Arabic"/>
          <w:sz w:val="32"/>
          <w:rtl/>
        </w:rPr>
        <w:footnoteReference w:id="8"/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 این دوگانه بسته به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عملکرد مدیران و کارکنان آن دارد که در چه درجه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ای از جهاد نفس قرار داشته باشند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یعنی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lastRenderedPageBreak/>
        <w:t>چهره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‌ی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اصلی شخص حقیقی و حقوقی چهره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‌ی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ملکوتی و باطنی است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ولو چهره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ملکی و ظاهری زیبای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از خود ارائه دهد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مشتری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مدار و خوش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رفتار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نشان دهد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ولی سازمان او حفره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ای از نیران و خود او درنده یا بهیمه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یا شیطانی زشت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رو باشد. سازمان خوب سازمان خوش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باطن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است،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فافهم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.</w:t>
      </w:r>
    </w:p>
    <w:p w:rsidR="003C16ED" w:rsidRDefault="003C16ED" w:rsidP="003C16ED">
      <w:pPr>
        <w:widowControl w:val="0"/>
        <w:bidi/>
        <w:spacing w:line="168" w:lineRule="auto"/>
        <w:ind w:firstLine="482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فتحصل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که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وظیفه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‌ی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اصلی کارکنان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،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ب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ه‌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ویژه مدیران اصلاح مملکت و سازمان باطن است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،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نه فقط اصلاح ظاه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رِ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خود و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سازمان با وجود تباهی باطن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و این اصلاح مضاعف، شرطی از شرائط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 xml:space="preserve"> </w:t>
      </w:r>
      <w:r w:rsidRPr="00275312">
        <w:rPr>
          <w:rFonts w:ascii="Traditional Arabic" w:eastAsia="Calibri" w:hAnsi="Traditional Arabic" w:cs="Traditional Arabic" w:hint="cs"/>
          <w:sz w:val="32"/>
          <w:szCs w:val="32"/>
          <w:rtl/>
        </w:rPr>
        <w:t>اثربخشی تدبیر نفس است</w:t>
      </w:r>
      <w:r w:rsidRPr="00275312">
        <w:rPr>
          <w:rFonts w:ascii="Traditional Arabic" w:eastAsia="Calibri" w:hAnsi="Traditional Arabic" w:cs="Traditional Arabic"/>
          <w:sz w:val="32"/>
          <w:szCs w:val="32"/>
          <w:rtl/>
          <w:lang w:bidi="fa-IR"/>
        </w:rPr>
        <w:t>.</w:t>
      </w:r>
      <w:r w:rsidRPr="00275312">
        <w:rPr>
          <w:rFonts w:ascii="Traditional Arabic" w:eastAsia="Calibri" w:hAnsi="Traditional Arabic" w:cs="Traditional Arabic"/>
          <w:sz w:val="32"/>
          <w:szCs w:val="32"/>
          <w:vertAlign w:val="superscript"/>
          <w:rtl/>
        </w:rPr>
        <w:footnoteReference w:id="9"/>
      </w:r>
    </w:p>
    <w:p w:rsidR="00DE02D4" w:rsidRPr="007D71D3" w:rsidRDefault="00DE02D4" w:rsidP="003C16ED">
      <w:pPr>
        <w:widowControl w:val="0"/>
        <w:bidi/>
        <w:spacing w:after="0" w:line="168" w:lineRule="auto"/>
        <w:jc w:val="both"/>
        <w:rPr>
          <w:rFonts w:ascii="Traditional Arabic" w:hAnsi="Traditional Arabic" w:cs="Traditional Arabic"/>
          <w:sz w:val="32"/>
          <w:szCs w:val="32"/>
          <w:rtl/>
          <w:lang w:bidi="fa-IR"/>
        </w:rPr>
      </w:pPr>
    </w:p>
    <w:sectPr w:rsidR="00DE02D4" w:rsidRPr="007D71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387" w:rsidRDefault="00F33387" w:rsidP="007926A7">
      <w:pPr>
        <w:spacing w:after="0" w:line="240" w:lineRule="auto"/>
      </w:pPr>
      <w:r>
        <w:separator/>
      </w:r>
    </w:p>
  </w:endnote>
  <w:endnote w:type="continuationSeparator" w:id="0">
    <w:p w:rsidR="00F33387" w:rsidRDefault="00F33387" w:rsidP="0079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 Arb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rood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Neirizi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387" w:rsidRDefault="00F33387" w:rsidP="007926A7">
      <w:pPr>
        <w:spacing w:after="0" w:line="240" w:lineRule="auto"/>
      </w:pPr>
      <w:r>
        <w:separator/>
      </w:r>
    </w:p>
  </w:footnote>
  <w:footnote w:type="continuationSeparator" w:id="0">
    <w:p w:rsidR="00F33387" w:rsidRDefault="00F33387" w:rsidP="007926A7">
      <w:pPr>
        <w:spacing w:after="0" w:line="240" w:lineRule="auto"/>
      </w:pPr>
      <w:r>
        <w:continuationSeparator/>
      </w:r>
    </w:p>
  </w:footnote>
  <w:footnote w:id="1">
    <w:p w:rsidR="007926A7" w:rsidRPr="007D71D3" w:rsidRDefault="007926A7" w:rsidP="003C16ED">
      <w:pPr>
        <w:shd w:val="clear" w:color="auto" w:fill="FFFFFF"/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7D71D3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="00007EDA" w:rsidRPr="007D71D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و اصول معاملة النّفس سبعة، الخوف و </w:t>
      </w:r>
      <w:r w:rsidRPr="003C16ED">
        <w:rPr>
          <w:rFonts w:ascii="Traditional Arabic" w:eastAsia="Times New Roman" w:hAnsi="Traditional Arabic" w:cs="Traditional Arabic"/>
          <w:b/>
          <w:bCs/>
          <w:sz w:val="26"/>
          <w:szCs w:val="26"/>
          <w:rtl/>
        </w:rPr>
        <w:t>الجهد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، و حمل الاذى، و الرّیاضة، و طلب الصّدق، و الاخلاص، و إخراجها من محبوبها و ربطها فی الفقه.(</w:t>
      </w:r>
      <w:r w:rsidRPr="003C16ED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مصباح الشریعه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)</w:t>
      </w:r>
    </w:p>
  </w:footnote>
  <w:footnote w:id="2"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7D71D3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7D71D3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>حد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یث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«جهاد با نفس»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 w:hint="cs"/>
          <w:sz w:val="26"/>
          <w:rtl/>
        </w:rPr>
        <w:t>مقام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اوّل: «منزل «ملک» و ظاهر و دن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یا</w:t>
      </w:r>
      <w:r w:rsidRPr="0002745A">
        <w:rPr>
          <w:rFonts w:ascii="Traditional Arabic" w:eastAsia="Times New Roman" w:hAnsi="Traditional Arabic" w:cs="Traditional Arabic" w:hint="eastAsia"/>
          <w:sz w:val="26"/>
          <w:rtl/>
        </w:rPr>
        <w:t>»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و در آن چند فصل است:‏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/>
          <w:sz w:val="26"/>
          <w:rtl/>
        </w:rPr>
        <w:t>‏فصل: اشاره به مقام اوّل نفس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/>
          <w:sz w:val="26"/>
          <w:rtl/>
        </w:rPr>
        <w:t>فصل: در تفکر است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/>
          <w:sz w:val="26"/>
          <w:rtl/>
        </w:rPr>
        <w:t>فصل: در عزم است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/>
          <w:sz w:val="26"/>
          <w:rtl/>
        </w:rPr>
        <w:t>فصل: در «مشارطه» و «مراقبه» و «محاسبه» است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/>
          <w:sz w:val="26"/>
          <w:rtl/>
        </w:rPr>
        <w:t>فصل: در تذکّر است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 w:hint="cs"/>
          <w:sz w:val="26"/>
          <w:rtl/>
        </w:rPr>
        <w:t>مقام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دوم: «مملکت باطن و نشئه‌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«ملکوت» اوست» و در آن چند فصل است:‏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 w:hint="cs"/>
          <w:sz w:val="26"/>
          <w:rtl/>
        </w:rPr>
        <w:t>فصل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>: نزاع جنود رحمان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و ش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یطانی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باطن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نفس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 w:hint="cs"/>
          <w:sz w:val="26"/>
          <w:rtl/>
        </w:rPr>
        <w:t>فصل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>: در اشاره به بعض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قوا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باطن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یه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است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 w:hint="cs"/>
          <w:sz w:val="26"/>
          <w:rtl/>
        </w:rPr>
        <w:t>فصل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>: در ب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یان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جلوگ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یری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انب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یاء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از اطلاق طب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یعت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 w:hint="cs"/>
          <w:sz w:val="26"/>
          <w:rtl/>
        </w:rPr>
        <w:t>فصل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>: در ب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یان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ضبط خ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یال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است</w:t>
      </w:r>
    </w:p>
    <w:p w:rsidR="003C16ED" w:rsidRPr="0002745A" w:rsidRDefault="003C16ED" w:rsidP="003C16ED">
      <w:pPr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rtl/>
        </w:rPr>
      </w:pPr>
      <w:r w:rsidRPr="0002745A">
        <w:rPr>
          <w:rFonts w:ascii="Traditional Arabic" w:eastAsia="Times New Roman" w:hAnsi="Traditional Arabic" w:cs="Traditional Arabic"/>
          <w:sz w:val="26"/>
          <w:rtl/>
        </w:rPr>
        <w:t>فصل: در موازنه است</w:t>
      </w:r>
    </w:p>
    <w:p w:rsidR="003C16ED" w:rsidRPr="007D71D3" w:rsidRDefault="003C16ED" w:rsidP="003C16ED">
      <w:pPr>
        <w:bidi/>
        <w:spacing w:after="0" w:line="168" w:lineRule="auto"/>
        <w:jc w:val="both"/>
        <w:rPr>
          <w:rFonts w:ascii="Traditional Arabic" w:hAnsi="Traditional Arabic" w:cs="Traditional Arabic"/>
          <w:sz w:val="26"/>
          <w:szCs w:val="26"/>
          <w:rtl/>
        </w:rPr>
      </w:pPr>
      <w:r w:rsidRPr="0002745A">
        <w:rPr>
          <w:rFonts w:ascii="Traditional Arabic" w:eastAsia="Times New Roman" w:hAnsi="Traditional Arabic" w:cs="Traditional Arabic" w:hint="cs"/>
          <w:sz w:val="26"/>
          <w:rtl/>
        </w:rPr>
        <w:t>فصل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>: در معالجه‌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</w:t>
      </w:r>
      <w:r w:rsidRPr="0002745A">
        <w:rPr>
          <w:rFonts w:ascii="Traditional Arabic" w:eastAsia="Times New Roman" w:hAnsi="Traditional Arabic" w:cs="Traditional Arabic"/>
          <w:sz w:val="26"/>
          <w:rtl/>
        </w:rPr>
        <w:t xml:space="preserve"> مفاسد اخلاق</w:t>
      </w:r>
      <w:r w:rsidRPr="0002745A">
        <w:rPr>
          <w:rFonts w:ascii="Traditional Arabic" w:eastAsia="Times New Roman" w:hAnsi="Traditional Arabic" w:cs="Traditional Arabic" w:hint="cs"/>
          <w:sz w:val="26"/>
          <w:rtl/>
        </w:rPr>
        <w:t>یه</w:t>
      </w:r>
    </w:p>
  </w:footnote>
  <w:footnote w:id="3">
    <w:p w:rsidR="003C16ED" w:rsidRPr="007D71D3" w:rsidRDefault="003C16ED" w:rsidP="003C16ED">
      <w:pPr>
        <w:shd w:val="clear" w:color="auto" w:fill="FFFFFF"/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</w:pPr>
      <w:r w:rsidRPr="007D71D3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7D71D3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فصل نزاع جنود رحمانی و شیطانی باطنی نفس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.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بدان که از برای نفس انسانی یک مملکت و مقام دیگر است که آن مملکت باطن و نشئه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«ملکوت» اوست که جنود نفس در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جا بیش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تر و مهم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تر از مملکت ظاهر است. و نزاع و جدال بین جنود رحمانی و شیطانی در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جا عظیم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تر و مغالبه در آن نشئه بیش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تر و با اهمیت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تر است. بلکه هرچه در مملکت ظاهر است از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جا تنزل کرده و ظهور در «م</w:t>
      </w:r>
      <w:r>
        <w:rPr>
          <w:rFonts w:ascii="Traditional Arabic" w:eastAsia="Times New Roman" w:hAnsi="Traditional Arabic" w:cs="Traditional Arabic" w:hint="cs"/>
          <w:sz w:val="26"/>
          <w:rtl/>
        </w:rPr>
        <w:t>ُ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لک» نموده، و اگر هر یک از جنود رحمانی و شیطانی در آن مملکت غالب آیند، در این مملکت نیز غالب شوند. و جهاد نفس در این مقام پیش مشایخ عظام از اهل سلوک و اخلاق خیلی اهمیت دارد، بلکه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توان سرچشمه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‌ی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تمام سعادات و شقاوات و درجات و درکات را آن مقام دانست. انسان باید خیلی ملتفت خود در این جهاد باشد.‏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‏ممکن است خدای نخواسته به واسطه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مغلوبیت جنود رحمانی در آن مملکت 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cs/>
        </w:rPr>
        <w:t>‎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‏و خالی گذاشتن آن را برای غاصبین و نااهلها از جنود شیطان، هلاکت همیشگی از برای انسان پیدا شود که قابل جبران نباشد، و شفاعت شافعین شامل حال او نگردد، و ارحم الراحمین، نعوذ بالله، نیز به نظر سخط و غضب به او نگاه کند، بلکه شفعاء او خصماء او شوند. وای بر کسی که شفیع او خصمش شود. خدا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داند چه عذاب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هایی و ظلمت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هایی و سختی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هایی و بدبختی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هایی دنبال این غضب الهی و دشمنی اولیای حق است که تمام آتش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 جهنم و تمام زقّوم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و مارها و عقرب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پیش آن هیچ است. خدا نکند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چه حکما و عرفا و اهل ریاضت و سلوک خبر می دهند راجع به این عذاب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به سر ما ضعفا</w:t>
      </w:r>
      <w:r>
        <w:rPr>
          <w:rFonts w:ascii="Traditional Arabic" w:eastAsia="Times New Roman" w:hAnsi="Traditional Arabic" w:cs="Traditional Arabic" w:hint="cs"/>
          <w:sz w:val="26"/>
          <w:rtl/>
        </w:rPr>
        <w:t>ء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و بیچارگان بیاید، که تمام عذاب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که تصور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کنید پیش آن سهل و آسان است، و تمام جهنم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که شنیدید پیش آن رحمت و بهشت است.‏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‏غالبا</w:t>
      </w:r>
      <w:r>
        <w:rPr>
          <w:rFonts w:ascii="Traditional Arabic" w:eastAsia="Times New Roman" w:hAnsi="Traditional Arabic" w:cs="Traditional Arabic" w:hint="cs"/>
          <w:sz w:val="26"/>
          <w:rtl/>
        </w:rPr>
        <w:t>ً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وصف جهنم و بهشت که در کتاب خدا و اخبار انبیا</w:t>
      </w:r>
      <w:r>
        <w:rPr>
          <w:rFonts w:ascii="Traditional Arabic" w:eastAsia="Times New Roman" w:hAnsi="Traditional Arabic" w:cs="Traditional Arabic" w:hint="cs"/>
          <w:sz w:val="26"/>
          <w:rtl/>
        </w:rPr>
        <w:t>ء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و اولیا</w:t>
      </w:r>
      <w:r>
        <w:rPr>
          <w:rFonts w:ascii="Traditional Arabic" w:eastAsia="Times New Roman" w:hAnsi="Traditional Arabic" w:cs="Traditional Arabic" w:hint="cs"/>
          <w:sz w:val="26"/>
          <w:rtl/>
        </w:rPr>
        <w:t>ء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شده </w:t>
      </w:r>
      <w:r w:rsidRPr="00C00896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bidi="fa-IR"/>
        </w:rPr>
        <w:t>جهنم و بهشت</w:t>
      </w:r>
      <w:r w:rsidRPr="007D71D3">
        <w:rPr>
          <w:rFonts w:ascii="Traditional Arabic" w:eastAsia="Times New Roman" w:hAnsi="Traditional Arabic" w:cs="Traditional Arabic"/>
          <w:sz w:val="26"/>
          <w:szCs w:val="26"/>
          <w:u w:val="single"/>
          <w:rtl/>
          <w:lang w:bidi="fa-IR"/>
        </w:rPr>
        <w:t xml:space="preserve"> </w:t>
      </w:r>
      <w:r w:rsidRPr="00C00896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bidi="fa-IR"/>
        </w:rPr>
        <w:t>اعمال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است که از برای جزای عمل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 خوب و بد تهیه شده است. گاهی اشاره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‌ی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خفیه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ای نیز به </w:t>
      </w:r>
      <w:r w:rsidRPr="00C00896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bidi="fa-IR"/>
        </w:rPr>
        <w:t>بهشت و جهنم اخلاق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که اهمیتش بیش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تر است شده، و گاهی هم به </w:t>
      </w:r>
      <w:r w:rsidRPr="00C00896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bidi="fa-IR"/>
        </w:rPr>
        <w:t>بهشت لقاء و جهنم فراق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، که از همه مهم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تر است، گردیده، ولی همه در پرده و از برای اهلش. من و تو اهلش نیستیم، ولی خوب است منکر هم نشویم و ایمان داشته باشیم به هرچه خداوند تعالی و اولیایش فرموده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اند، شاید این ایمان اجمالی هم برای ما فایده داشته باشد. گاهی هم ممکن است که انکار بی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جا و ردّ بی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موقع و بدون علم و فهم برای ما ضررهای خیلی زیاد داشته باشد، و این دنیا عالم التفات به آن ضررها نیست. مثلا</w:t>
      </w:r>
      <w:r>
        <w:rPr>
          <w:rFonts w:ascii="Traditional Arabic" w:eastAsia="Times New Roman" w:hAnsi="Traditional Arabic" w:cs="Traditional Arabic" w:hint="cs"/>
          <w:sz w:val="26"/>
          <w:rtl/>
        </w:rPr>
        <w:t>ً ت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 شنیدی فلان حکیم یا فلان عارف یا فلان مرتاض چیزی گفت که به سلیقه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شما درست درنمی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آید و با ذائقه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شما گوارا نیست، حمل به باطل و خیال مکن. شاید آن مطلب منشأ داشته باشد از کتاب و سنت و عقل و شما به آن بر نخورده باشید. چه فرق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کند که یک نفر فقیه یک فتوی بدهد، از باب دیات مثلا</w:t>
      </w:r>
      <w:r>
        <w:rPr>
          <w:rFonts w:ascii="Traditional Arabic" w:eastAsia="Times New Roman" w:hAnsi="Traditional Arabic" w:cs="Traditional Arabic" w:hint="cs"/>
          <w:sz w:val="26"/>
          <w:rtl/>
        </w:rPr>
        <w:t>ً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که شما کم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تر دیده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اید. و شما بدون مراجعه به مدرکش رد کنید او را، یا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که یک نفر سالک الی الله یا عارف بالله یک حرف بزند راجع به معارف الهیه یا راجع به احوال بهشت و جهنم، و شما بدون مراجعه به مدرکش او را رد کنید، سهل است. توهین کنید یا جسارت نمائید. ممکن است آن شخصی که اهل آن وادی است و صاحب آن فن است یک مدرکی از کتاب خدا داشته باشد، یا از اخبار ائمه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هدی داشته باشد، و شما به آن برنخورده باشید، آن وقت شما ردّ خدا و رسول کردید بدون عذر موجه. و معلوم است «به سلیقه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من درست نبود» یا «علم من به این جا نرسیده بود» یا «از اهل منبر بر خلاف آن شنیدم» عذر نیست.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cs/>
        </w:rPr>
        <w:t>‎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‏در هر حال، از مقصود نگذرم.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چه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راجع به بهشت اخلاق و ملکات و جهنم اخلاق و درکات گفته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اند مصیبتی است که طاقت شنیدنش را هم نداریم.‏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پس ای عزیز فکری کن و چاره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جویی نما و راه نجاتی و وسیله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‌ی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خلاصی از برای خود پیدا کن. و به خدای ارحم الراحمین پناه ببر، و در شب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های تاریک با تضرع و زاری </w:t>
      </w:r>
      <w:r w:rsidRPr="00C00896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bidi="fa-IR"/>
        </w:rPr>
        <w:t xml:space="preserve">از آن ذات مقدس تمنا کن که تو را اعانت کند در این جهاد نفس، تا إن شاء الله غالب شوی و مملکت [وجودت ] را رحمانی گردانی و جنود شیطان را از آن بیرون کنی، و خانه را به دست صاحبش دهی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تا سعادت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و بهجت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و رحمت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هایی خداوند به تو عطا فرماید که تمام چیزهایی که شنیدی از وصف بهشت و حور و قصور پیش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چیزی نباشد، و آن سلطنت کلیه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الهیه است که خبر دادند اولیا</w:t>
      </w:r>
      <w:r>
        <w:rPr>
          <w:rFonts w:ascii="Traditional Arabic" w:eastAsia="Times New Roman" w:hAnsi="Traditional Arabic" w:cs="Traditional Arabic" w:hint="cs"/>
          <w:sz w:val="26"/>
          <w:rtl/>
        </w:rPr>
        <w:t>ء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خدا از این ملت بیضای حنیف، و بالاتر از آن چیزهایی است که نه گوش احدی شنیده و نه چشمی دیده و نه به قلب بشری خطور کرده</w:t>
      </w:r>
      <w:r>
        <w:rPr>
          <w:rFonts w:ascii="Traditional Arabic" w:eastAsia="Times New Roman" w:hAnsi="Traditional Arabic" w:cs="Traditional Arabic" w:hint="cs"/>
          <w:sz w:val="26"/>
          <w:rtl/>
        </w:rPr>
        <w:t>. (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اشاره است به حدیث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پیغمبر </w:t>
      </w:r>
      <w:r w:rsidRPr="00345741">
        <w:rPr>
          <w:rFonts w:ascii="Dorood" w:hAnsi="Dorood" w:cs="Traditional Arabic"/>
          <w:sz w:val="32"/>
          <w:szCs w:val="32"/>
        </w:rPr>
        <w:t>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که فرمودند: </w:t>
      </w:r>
      <w:r>
        <w:rPr>
          <w:rFonts w:ascii="Traditional Arabic" w:eastAsia="Times New Roman" w:hAnsi="Traditional Arabic" w:cs="Traditional Arabic" w:hint="cs"/>
          <w:sz w:val="26"/>
          <w:rtl/>
        </w:rPr>
        <w:t>«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إنّ الله یقول أعددت لعبادی الصّالحین ما لا عین رأت و لا أذن سمعت و لا خطر علی قلب بشر</w:t>
      </w:r>
      <w:r>
        <w:rPr>
          <w:rFonts w:ascii="Traditional Arabic" w:eastAsia="Times New Roman" w:hAnsi="Traditional Arabic" w:cs="Traditional Arabic" w:hint="cs"/>
          <w:sz w:val="26"/>
          <w:rtl/>
        </w:rPr>
        <w:t>»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. همانا خداوند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گوید برای بندگان شایسته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ام چیزی را آماده کرده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ام که نه چشمی دیده و نه گوشی شنیده و نه به قلب بشری گذر کرده است. 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(طبرسی، </w:t>
      </w:r>
      <w:r w:rsidRPr="00C00896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مجمع البیان</w:t>
      </w:r>
      <w:r>
        <w:rPr>
          <w:rFonts w:ascii="Traditional Arabic" w:eastAsia="Times New Roman" w:hAnsi="Traditional Arabic" w:cs="Traditional Arabic" w:hint="cs"/>
          <w:sz w:val="26"/>
          <w:rtl/>
        </w:rPr>
        <w:t>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در تفسیر آیه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18 سوره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سجده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؛ مجلسی، </w:t>
      </w:r>
      <w:r w:rsidRPr="0009127E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بحار الانوار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، ج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.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8، ص</w:t>
      </w:r>
      <w:r>
        <w:rPr>
          <w:rFonts w:ascii="Traditional Arabic" w:eastAsia="Times New Roman" w:hAnsi="Traditional Arabic" w:cs="Traditional Arabic" w:hint="cs"/>
          <w:sz w:val="26"/>
          <w:rtl/>
        </w:rPr>
        <w:t>.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198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؛ خمینی، </w:t>
      </w:r>
      <w:r w:rsidRPr="00C00896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شرح چهل حدیث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، صص.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12</w:t>
      </w:r>
      <w:r>
        <w:rPr>
          <w:rFonts w:ascii="Traditional Arabic" w:eastAsia="Times New Roman" w:hAnsi="Traditional Arabic" w:cs="Traditional Arabic" w:hint="cs"/>
          <w:sz w:val="26"/>
          <w:rtl/>
        </w:rPr>
        <w:t>-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14</w:t>
      </w:r>
      <w:r>
        <w:rPr>
          <w:rFonts w:ascii="Traditional Arabic" w:eastAsia="Times New Roman" w:hAnsi="Traditional Arabic" w:cs="Traditional Arabic" w:hint="cs"/>
          <w:sz w:val="26"/>
          <w:rtl/>
        </w:rPr>
        <w:t>)</w:t>
      </w:r>
    </w:p>
  </w:footnote>
  <w:footnote w:id="4">
    <w:p w:rsidR="003C16ED" w:rsidRPr="00570F9F" w:rsidRDefault="003C16ED" w:rsidP="003C16ED">
      <w:pPr>
        <w:widowControl w:val="0"/>
        <w:shd w:val="clear" w:color="auto" w:fill="FFFFFF"/>
        <w:bidi/>
        <w:spacing w:after="0" w:line="168" w:lineRule="auto"/>
        <w:jc w:val="both"/>
        <w:outlineLvl w:val="0"/>
        <w:rPr>
          <w:rFonts w:ascii="Traditional Arabic" w:eastAsia="Times New Roman" w:hAnsi="Traditional Arabic" w:cs="Traditional Arabic"/>
          <w:kern w:val="36"/>
          <w:sz w:val="26"/>
          <w:szCs w:val="26"/>
          <w:rtl/>
          <w:lang w:bidi="fa-IR"/>
        </w:rPr>
      </w:pPr>
      <w:r w:rsidRPr="007D71D3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7D71D3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فصل در اشاره به بعضی قوای باطنیه است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.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بدان که خداوند تبارک و تعالی به ید قدرت و حکمتش در عالم غیب و باطن نفس قوایی خلق فرموده دارای منافع بی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شمار و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چه مورد بحث ما است در این مورد </w:t>
      </w:r>
      <w:r w:rsidRPr="0090039D">
        <w:rPr>
          <w:rFonts w:ascii="Traditional Arabic" w:eastAsia="Times New Roman" w:hAnsi="Traditional Arabic" w:cs="Traditional Arabic"/>
          <w:b/>
          <w:bCs/>
          <w:sz w:val="26"/>
          <w:szCs w:val="26"/>
          <w:rtl/>
          <w:lang w:bidi="fa-IR"/>
        </w:rPr>
        <w:t>سه قوّه است و آن «واهمه» و «غضبیه» و «شهویه»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است. و هر یک از این قوا منافع کثیره دارند از برای حفظ نوع و شخص و تعمیر دنیا و آخرت، که علما ذکر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کرده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اند و اکنون ما را به آن احتیاجی نیست. و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چه لازم است در این مقام تنبه دهم آن است که این سه قوّه سر چشمه تمام ملکات حسنه و سیّئه و منشأ تمام صور غیبیه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ملکوتیه است.‏</w:t>
      </w:r>
      <w:r>
        <w:rPr>
          <w:rFonts w:ascii="Traditional Arabic" w:eastAsia="Times New Roman" w:hAnsi="Traditional Arabic" w:cs="Traditional Arabic" w:hint="cs"/>
          <w:kern w:val="36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‏و تفصیل این اجمال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که انسان همین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طور که در این دنیا یک صورت ملکی دنیا وی دارد، که خداوند تبارک و تعالی آن را در کمال حسن و نیکویی و ترکیب بدیع خلق فرموده که عقول تمام فلاسفه و بزرگان در آن متحیر است و علم معرفة الاعضاء و تشریح تاکنون نتوانسته است معرفت درستی به حال آن پیدا کند و خداوند انسان را از بین مخلوقات امتیاز داده به حسن ترکیب و جمال نیکو منظر، کذلک از برای او یک صورت و شکل ملکوتی غیبی است، که آن صورت تابع ملکات نفس و خلق باطن ‏است در عالم بعد از موت، چه برزخ باشد یا قیامت. انسان اگر خلق باطن و ملکه و سریره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اش انسانی باشد، صورت ملکوتی او نیز صورت انسانی است. ولی اگر ملکاتش غیر ملکات انسانی باشد، صورتش انسانی نیست و تابع آن سریره و ملکه است. مثلا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ً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اگر ملکه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شهوت و بهیمیت بر باطن او غلبه کند و حکم مملکت باطن حکم بهیمه شود، انسان صورت ملکوتیش صورت یکی از بهائم است مناسب با آن خلق. و اگر ملکه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غضب و سبعیّت بر باطن و سریره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اش غلبه کند و حکم مملکت باطن و سریره حکم سبع شود، صورت غیبیه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ملکوتیه صورت یکی از سباع است. و اگر وهم و شیطنت ملکه شد و باطن و سریره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اش دارای ملکات شیطانیه شد، از قبیل خدعه، تقلب، نمیمه، غیبت، صورت غیب و ملکوتش صورت یکی از شیاطین است به مناسبت آن. و گاهی ممکن است به طریق ترکیب دو ملکه یا چند ملکه منشأ صورت ملکوتی شود. آن وقت به شکل هیچ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یک از حیوانات نمی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شود، بلکه صورت غریبی پیدا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کند که هیچ آن صورت مدهش و موحش بد</w:t>
      </w:r>
      <w:r>
        <w:rPr>
          <w:rFonts w:ascii="Traditional Arabic" w:eastAsia="Times New Roman" w:hAnsi="Traditional Arabic" w:cs="Traditional Arabic" w:hint="cs"/>
          <w:sz w:val="26"/>
          <w:rtl/>
        </w:rPr>
        <w:t>تر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کیب در این عالم سابقه ندارد. از پیغمبر خدا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345741">
        <w:rPr>
          <w:rFonts w:ascii="Dorood" w:hAnsi="Dorood" w:cs="Traditional Arabic"/>
          <w:sz w:val="32"/>
          <w:szCs w:val="32"/>
        </w:rPr>
        <w:t>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نقل شده که بعضی مردم در قیامت محشور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شوند به صورت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هایی که نیکوست پیش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میمون[ها]‏</w:t>
      </w:r>
      <w:r w:rsidRPr="007D71D3">
        <w:rPr>
          <w:rFonts w:ascii="Traditional Arabic" w:eastAsia="Times New Roman" w:hAnsi="Traditional Arabic" w:cs="Traditional Arabic"/>
          <w:i/>
          <w:iCs/>
          <w:sz w:val="26"/>
          <w:szCs w:val="26"/>
          <w:rtl/>
          <w:lang w:bidi="fa-IR"/>
        </w:rPr>
        <w:t>‏</w:t>
      </w:r>
      <w:r w:rsidRPr="007D71D3">
        <w:rPr>
          <w:rFonts w:ascii="Traditional Arabic" w:eastAsia="Times New Roman" w:hAnsi="Traditional Arabic" w:cs="Traditional Arabic"/>
          <w:i/>
          <w:iCs/>
          <w:sz w:val="26"/>
          <w:szCs w:val="26"/>
          <w:vertAlign w:val="superscript"/>
          <w:rtl/>
          <w:lang w:bidi="fa-IR"/>
        </w:rPr>
        <w:t> </w:t>
      </w:r>
      <w:r w:rsidRPr="007D71D3">
        <w:rPr>
          <w:rFonts w:ascii="Traditional Arabic" w:eastAsia="Times New Roman" w:hAnsi="Traditional Arabic" w:cs="Traditional Arabic"/>
          <w:i/>
          <w:iCs/>
          <w:sz w:val="26"/>
          <w:szCs w:val="26"/>
          <w:rtl/>
          <w:lang w:bidi="fa-IR"/>
        </w:rPr>
        <w:t>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‏و انترها</w:t>
      </w:r>
      <w:r>
        <w:rPr>
          <w:rFonts w:ascii="Traditional Arabic" w:eastAsia="Times New Roman" w:hAnsi="Traditional Arabic" w:cs="Traditional Arabic" w:hint="cs"/>
          <w:sz w:val="26"/>
          <w:rtl/>
        </w:rPr>
        <w:t>. (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یحشر بعض النّاس علی صور تحسن عندها القردة و الخنازیر</w:t>
      </w:r>
      <w:r>
        <w:rPr>
          <w:rFonts w:ascii="Traditional Arabic" w:eastAsia="Times New Roman" w:hAnsi="Traditional Arabic" w:cs="Traditional Arabic" w:hint="cs"/>
          <w:sz w:val="26"/>
          <w:rtl/>
        </w:rPr>
        <w:t>.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26"/>
          <w:rtl/>
        </w:rPr>
        <w:t>(</w:t>
      </w:r>
      <w:r w:rsidRPr="00D47821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علم الیقین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، ج</w:t>
      </w:r>
      <w:r>
        <w:rPr>
          <w:rFonts w:ascii="Traditional Arabic" w:eastAsia="Times New Roman" w:hAnsi="Traditional Arabic" w:cs="Traditional Arabic" w:hint="cs"/>
          <w:sz w:val="26"/>
          <w:rtl/>
        </w:rPr>
        <w:t>.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2، ص</w:t>
      </w:r>
      <w:r>
        <w:rPr>
          <w:rFonts w:ascii="Traditional Arabic" w:eastAsia="Times New Roman" w:hAnsi="Traditional Arabic" w:cs="Traditional Arabic" w:hint="cs"/>
          <w:sz w:val="26"/>
          <w:rtl/>
        </w:rPr>
        <w:t>.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901</w:t>
      </w:r>
      <w:r>
        <w:rPr>
          <w:rFonts w:ascii="Traditional Arabic" w:eastAsia="Times New Roman" w:hAnsi="Traditional Arabic" w:cs="Traditional Arabic" w:hint="cs"/>
          <w:sz w:val="26"/>
          <w:rtl/>
        </w:rPr>
        <w:t>))</w:t>
      </w:r>
      <w:r>
        <w:rPr>
          <w:rFonts w:ascii="Traditional Arabic" w:eastAsia="Times New Roman" w:hAnsi="Traditional Arabic" w:cs="Traditional Arabic" w:hint="cs"/>
          <w:kern w:val="36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‏بلکه ممکن است از برای یک نفر در آن عالم چند صورت باشد، زیرا که آن عالم مثل این عالم نیست که یک چیز بیش از یک صورت قبول نکند. و این مطلب مطابق با برهان نیز هست و در محل خود مقرر است.‏</w:t>
      </w:r>
      <w:r>
        <w:rPr>
          <w:rFonts w:ascii="Traditional Arabic" w:eastAsia="Times New Roman" w:hAnsi="Traditional Arabic" w:cs="Traditional Arabic" w:hint="cs"/>
          <w:kern w:val="36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‏و بدان که میزان در این صور مختلفه، که یکی از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انسان است، و باقی چیزهای دیگر، وقت خروج نفس است از این بدن و پیدا شدن مملکت برزخ و غلبه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‌ی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سلطان آخرت که اوّلش در برزخ است. در وقت خروج از بدن با هر ملکه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ای از دنیا رفت با آن ملکه صورت آخرتی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گیرد، و چشم ملکوتی برزخی او را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بیند، و خود او هم وقت گشودن چشم برزخی خود را به هر صورتی هست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بیند، اگر چشم داشته باشد. لازم نیست کسی که در این دنیا به صورتی هست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جا هم به همان صورت باشد. خدای تعالی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فرماید [به] نقل از بعضی که در وقت حشر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گویند: «خدایا چرا مرا کور محشور کردی با آن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که در دنیا چشم داشتم؟» جواب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فرماید: «چون تو آیات ما را فراموش کردی امروز فراموش شدی</w:t>
      </w:r>
      <w:r>
        <w:rPr>
          <w:rFonts w:ascii="Traditional Arabic" w:eastAsia="Times New Roman" w:hAnsi="Traditional Arabic" w:cs="Traditional Arabic" w:hint="cs"/>
          <w:sz w:val="26"/>
          <w:rtl/>
        </w:rPr>
        <w:t>»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‏.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(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اشاره است به آیه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Pr="00EC090B">
        <w:rPr>
          <w:rFonts w:ascii="Neirizi" w:eastAsia="Times New Roman" w:hAnsi="Neirizi" w:cs="Neirizi"/>
          <w:sz w:val="18"/>
          <w:szCs w:val="18"/>
          <w:rtl/>
        </w:rPr>
        <w:t>قال ربِّ لِمَ حَشَرْتَنی أَعْمی وَ قَدْ کُنْتُ بَصیرا قال کَذلِکَ أَتَتْکَ آیاتُنا فَنَسِیَها وَ کَذلِکَ الْیَوْمَ تُنْسی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. (طه</w:t>
      </w:r>
      <w:r>
        <w:rPr>
          <w:rFonts w:ascii="Traditional Arabic" w:eastAsia="Times New Roman" w:hAnsi="Traditional Arabic" w:cs="Traditional Arabic" w:hint="cs"/>
          <w:sz w:val="26"/>
          <w:rtl/>
        </w:rPr>
        <w:t>: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125- 126)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ای بیچاره، تو چشم ملکی ظاهر بین داشتی، ولی باطن و ملکوتت کور بود. کوری خودت را حالا ادراک کردی، و الا از اوّل کور بودی، چشم بصیرت باطنی که آیات خدا را به آن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بینند نداشتی. ای بیچاره، تو قامت مستقیم و صورت خوش</w:t>
      </w:r>
      <w:r>
        <w:rPr>
          <w:rFonts w:ascii="Traditional Arabic" w:eastAsia="Times New Roman" w:hAnsi="Traditional Arabic" w:cs="Traditional Arabic" w:hint="cs"/>
          <w:sz w:val="26"/>
          <w:rtl/>
        </w:rPr>
        <w:t>‌ت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رکیب 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cs/>
        </w:rPr>
        <w:t>‎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‏ملکی داری، میزان ملکوت و باطن، غیر از این است، باید استقامت باطنی پیدا کنی تا مستقیم القامة در قیامت باشی. باید روحت روح انسانی باشد تا صورت عالم برزخ و آخرتت صورت انسان باشد. تو گمان می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کنی که عالم غیب و باطن، که عالم کشف سرایر و ظهور ملکات است، مثل عالم ظاهر و دنیا است که اختلاط و اشتباه در کار باشد: چشم و گوش و دست و پا و سایر اعضایت-همه با زبان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 ملکوتی، بلکه به قول بعضی با صورت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های ملکوتی، شهادت به هر چه کردی می دهند.‏</w:t>
      </w:r>
      <w:r>
        <w:rPr>
          <w:rFonts w:ascii="Traditional Arabic" w:eastAsia="Times New Roman" w:hAnsi="Traditional Arabic" w:cs="Traditional Arabic" w:hint="cs"/>
          <w:kern w:val="36"/>
          <w:sz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‏هان ای عزیز گوش دل باز کن و دامن همت به کمر زن و به حال بدبختی خود رحم کن، شاید بتوانی خود را به صورت انسان گردانی و از این عالم به صورت آدمی بیرون روی که آن وقت از اهل نجات و سعادتی. مبادا گمان کنی این ها موعظه و خطابه است، این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ها همه نتیجه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برهان حکمی حکما</w:t>
      </w:r>
      <w:r>
        <w:rPr>
          <w:rFonts w:ascii="Traditional Arabic" w:eastAsia="Times New Roman" w:hAnsi="Traditional Arabic" w:cs="Traditional Arabic" w:hint="cs"/>
          <w:sz w:val="26"/>
          <w:rtl/>
        </w:rPr>
        <w:t>ء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عظام و کشف اصحاب ریاضت و اخبار صادقین و معصومین است، در این اوراق بنای اقامه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 برهان و نقل اخبار و آثار زیاد نیست.‏</w:t>
      </w:r>
      <w:r w:rsidRPr="007D71D3">
        <w:rPr>
          <w:rFonts w:ascii="Traditional Arabic" w:eastAsia="Times New Roman" w:hAnsi="Traditional Arabic" w:cs="Traditional Arabic"/>
          <w:sz w:val="26"/>
          <w:szCs w:val="26"/>
          <w:cs/>
        </w:rPr>
        <w:t>‎</w:t>
      </w:r>
      <w:r>
        <w:rPr>
          <w:rFonts w:ascii="Traditional Arabic" w:eastAsia="Times New Roman" w:hAnsi="Traditional Arabic" w:cs="Traditional Arabic" w:hint="cs"/>
          <w:sz w:val="26"/>
          <w:rtl/>
          <w:cs/>
        </w:rPr>
        <w:t xml:space="preserve"> (همان، ص. 14)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</w:p>
  </w:footnote>
  <w:footnote w:id="5">
    <w:p w:rsidR="003C16ED" w:rsidRPr="007D71D3" w:rsidRDefault="003C16ED" w:rsidP="003C16ED">
      <w:pPr>
        <w:pStyle w:val="FootnoteText"/>
        <w:bidi/>
        <w:spacing w:line="168" w:lineRule="auto"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7D71D3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7D71D3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و اگر هر یک از جنود رحمانی و شیطانی در آن مملکت غالب آیند، در این مملکت نیز غالب شوند.</w:t>
      </w:r>
      <w:r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 xml:space="preserve">(امام خمینی </w:t>
      </w:r>
      <w:r w:rsidRPr="00345741">
        <w:rPr>
          <w:rFonts w:ascii="Dorood" w:hAnsi="Dorood" w:cs="Traditional Arabic"/>
          <w:sz w:val="32"/>
          <w:szCs w:val="32"/>
        </w:rPr>
        <w:t>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  <w:lang w:bidi="fa-IR"/>
        </w:rPr>
        <w:t>)</w:t>
      </w:r>
    </w:p>
  </w:footnote>
  <w:footnote w:id="6">
    <w:p w:rsidR="003C16ED" w:rsidRPr="007D71D3" w:rsidRDefault="003C16ED" w:rsidP="003C16ED">
      <w:pPr>
        <w:shd w:val="clear" w:color="auto" w:fill="FFFFFF"/>
        <w:bidi/>
        <w:spacing w:after="0" w:line="168" w:lineRule="auto"/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7D71D3">
        <w:rPr>
          <w:rStyle w:val="FootnoteReference"/>
          <w:rFonts w:ascii="Traditional Arabic" w:hAnsi="Traditional Arabic" w:cs="Traditional Arabic"/>
          <w:sz w:val="26"/>
          <w:szCs w:val="26"/>
        </w:rPr>
        <w:footnoteRef/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اشاره است به حدیث پیغمبر </w:t>
      </w:r>
      <w:r w:rsidRPr="00345741">
        <w:rPr>
          <w:rFonts w:ascii="Dorood" w:hAnsi="Dorood" w:cs="Traditional Arabic"/>
          <w:sz w:val="32"/>
          <w:szCs w:val="32"/>
        </w:rPr>
        <w:t></w:t>
      </w:r>
      <w:r>
        <w:rPr>
          <w:rFonts w:ascii="Dorood" w:hAnsi="Dorood" w:cs="Traditional Arabic" w:hint="cs"/>
          <w:sz w:val="32"/>
          <w:szCs w:val="32"/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که فرمودند: </w:t>
      </w:r>
      <w:r>
        <w:rPr>
          <w:rFonts w:ascii="Traditional Arabic" w:eastAsia="Times New Roman" w:hAnsi="Traditional Arabic" w:cs="Traditional Arabic" w:hint="cs"/>
          <w:sz w:val="26"/>
          <w:rtl/>
        </w:rPr>
        <w:t>«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إنّ الله یقول أعددت لعبادی الصّالحین ما لا عین رأت و لا أذن سمعت و لا خطر علی قلب بشر</w:t>
      </w:r>
      <w:r>
        <w:rPr>
          <w:rFonts w:ascii="Traditional Arabic" w:eastAsia="Times New Roman" w:hAnsi="Traditional Arabic" w:cs="Traditional Arabic" w:hint="cs"/>
          <w:sz w:val="26"/>
          <w:rtl/>
        </w:rPr>
        <w:t>»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. همانا خداوند می گوید برای بندگان شایسته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ام چیزی را آماده کرده</w:t>
      </w:r>
      <w:r>
        <w:rPr>
          <w:rFonts w:ascii="Traditional Arabic" w:eastAsia="Times New Roman" w:hAnsi="Traditional Arabic" w:cs="Traditional Arabic" w:hint="cs"/>
          <w:sz w:val="26"/>
          <w:rtl/>
        </w:rPr>
        <w:t>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ام که نه چشمی دیده و نه گوشی شنیده و نه به قلب بشری گذر کرده است.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 (طبرسی، </w:t>
      </w:r>
      <w:r w:rsidRPr="00C00896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مجمع البیان</w:t>
      </w:r>
      <w:r>
        <w:rPr>
          <w:rFonts w:ascii="Traditional Arabic" w:eastAsia="Times New Roman" w:hAnsi="Traditional Arabic" w:cs="Traditional Arabic" w:hint="cs"/>
          <w:sz w:val="26"/>
          <w:rtl/>
        </w:rPr>
        <w:t>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در تفسیر آیه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18 سوره</w:t>
      </w:r>
      <w:r>
        <w:rPr>
          <w:rFonts w:ascii="Traditional Arabic" w:eastAsia="Times New Roman" w:hAnsi="Traditional Arabic" w:cs="Traditional Arabic" w:hint="cs"/>
          <w:sz w:val="26"/>
          <w:rtl/>
        </w:rPr>
        <w:t>‌ی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سجده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؛ مجلسی، </w:t>
      </w:r>
      <w:r w:rsidRPr="0009127E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بحار الانوار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، ج</w:t>
      </w:r>
      <w:r>
        <w:rPr>
          <w:rFonts w:ascii="Traditional Arabic" w:eastAsia="Times New Roman" w:hAnsi="Traditional Arabic" w:cs="Traditional Arabic" w:hint="cs"/>
          <w:sz w:val="26"/>
          <w:rtl/>
        </w:rPr>
        <w:t xml:space="preserve">.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8، ص</w:t>
      </w:r>
      <w:r>
        <w:rPr>
          <w:rFonts w:ascii="Traditional Arabic" w:eastAsia="Times New Roman" w:hAnsi="Traditional Arabic" w:cs="Traditional Arabic" w:hint="cs"/>
          <w:sz w:val="26"/>
          <w:rtl/>
        </w:rPr>
        <w:t>.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198</w:t>
      </w:r>
      <w:r>
        <w:rPr>
          <w:rFonts w:ascii="Traditional Arabic" w:eastAsia="Times New Roman" w:hAnsi="Traditional Arabic" w:cs="Traditional Arabic" w:hint="cs"/>
          <w:sz w:val="26"/>
          <w:rtl/>
        </w:rPr>
        <w:t>)</w:t>
      </w:r>
    </w:p>
  </w:footnote>
  <w:footnote w:id="7">
    <w:p w:rsidR="003C16ED" w:rsidRDefault="003C16ED" w:rsidP="003C16ED">
      <w:pPr>
        <w:pStyle w:val="FootnoteText"/>
        <w:bidi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37A70">
        <w:rPr>
          <w:rFonts w:ascii="Neirizi" w:eastAsia="Times New Roman" w:hAnsi="Neirizi" w:cs="Neirizi"/>
          <w:sz w:val="18"/>
          <w:szCs w:val="18"/>
          <w:rtl/>
        </w:rPr>
        <w:t>قال ربِّ لِمَ حَشَرْتَنی أَعْمی وَ قَدْ کُنْتُ بَصیرا. قال کَذلِکَ أَتَتْکَ آیاتُنا فَنَسِیَها وَ کَذلِکَ الْیَوْمَ تُنْسی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. (طه</w:t>
      </w:r>
      <w:r>
        <w:rPr>
          <w:rFonts w:ascii="Traditional Arabic" w:eastAsia="Times New Roman" w:hAnsi="Traditional Arabic" w:cs="Traditional Arabic" w:hint="cs"/>
          <w:sz w:val="26"/>
          <w:szCs w:val="26"/>
          <w:rtl/>
        </w:rPr>
        <w:t>: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125-126).</w:t>
      </w:r>
    </w:p>
  </w:footnote>
  <w:footnote w:id="8">
    <w:p w:rsidR="003C16ED" w:rsidRDefault="003C16ED" w:rsidP="003C16ED">
      <w:pPr>
        <w:pStyle w:val="FootnoteText"/>
        <w:bidi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یحشر بعض النّاس علی صور تحسن عندها القردة و الخنازیر. </w:t>
      </w:r>
      <w:r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(فیض کاشانی، </w:t>
      </w:r>
      <w:r w:rsidRPr="00E37A70">
        <w:rPr>
          <w:rFonts w:ascii="Traditional Arabic" w:eastAsia="Times New Roman" w:hAnsi="Traditional Arabic" w:cs="Traditional Arabic"/>
          <w:i/>
          <w:iCs/>
          <w:sz w:val="26"/>
          <w:szCs w:val="26"/>
          <w:rtl/>
        </w:rPr>
        <w:t>علم الیقین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>، ج</w:t>
      </w:r>
      <w:r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2، ص</w:t>
      </w:r>
      <w:r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7D71D3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901</w:t>
      </w:r>
      <w:r>
        <w:rPr>
          <w:rFonts w:ascii="Traditional Arabic" w:eastAsia="Times New Roman" w:hAnsi="Traditional Arabic" w:cs="Traditional Arabic" w:hint="cs"/>
          <w:sz w:val="26"/>
          <w:szCs w:val="26"/>
          <w:rtl/>
        </w:rPr>
        <w:t>)</w:t>
      </w:r>
    </w:p>
  </w:footnote>
  <w:footnote w:id="9">
    <w:p w:rsidR="003C16ED" w:rsidRDefault="003C16ED" w:rsidP="003C16ED">
      <w:pPr>
        <w:pStyle w:val="FootnoteText"/>
        <w:bidi/>
        <w:spacing w:line="168" w:lineRule="auto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F67E3">
        <w:rPr>
          <w:rFonts w:ascii="Traditional Arabic" w:hAnsi="Traditional Arabic" w:cs="Traditional Arabic"/>
          <w:sz w:val="26"/>
          <w:szCs w:val="26"/>
          <w:rtl/>
        </w:rPr>
        <w:t xml:space="preserve">درس </w:t>
      </w:r>
      <w:r>
        <w:rPr>
          <w:rFonts w:ascii="Traditional Arabic" w:hAnsi="Traditional Arabic" w:cs="Traditional Arabic" w:hint="cs"/>
          <w:sz w:val="26"/>
          <w:szCs w:val="26"/>
          <w:rtl/>
        </w:rPr>
        <w:t>39</w:t>
      </w:r>
      <w:r w:rsidRPr="00BF67E3">
        <w:rPr>
          <w:rFonts w:ascii="Traditional Arabic" w:hAnsi="Traditional Arabic" w:cs="Traditional Arabic"/>
          <w:sz w:val="26"/>
          <w:szCs w:val="26"/>
          <w:rtl/>
        </w:rPr>
        <w:t xml:space="preserve"> فقه الروابط از سلسله‌ی فقه الاداره، </w:t>
      </w:r>
      <w:r>
        <w:rPr>
          <w:rFonts w:ascii="Traditional Arabic" w:hAnsi="Traditional Arabic" w:cs="Traditional Arabic" w:hint="cs"/>
          <w:sz w:val="26"/>
          <w:szCs w:val="26"/>
          <w:rtl/>
        </w:rPr>
        <w:t>21</w:t>
      </w:r>
      <w:r w:rsidRPr="00BF67E3">
        <w:rPr>
          <w:rFonts w:ascii="Traditional Arabic" w:hAnsi="Traditional Arabic" w:cs="Traditional Arabic"/>
          <w:sz w:val="26"/>
          <w:szCs w:val="26"/>
          <w:rtl/>
        </w:rPr>
        <w:t xml:space="preserve"> شهر جمادی الاولی 1447.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0E4"/>
    <w:multiLevelType w:val="multilevel"/>
    <w:tmpl w:val="4394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460A3"/>
    <w:multiLevelType w:val="multilevel"/>
    <w:tmpl w:val="29D6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463CC"/>
    <w:multiLevelType w:val="multilevel"/>
    <w:tmpl w:val="ADF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348D9"/>
    <w:multiLevelType w:val="multilevel"/>
    <w:tmpl w:val="C870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6096A"/>
    <w:multiLevelType w:val="multilevel"/>
    <w:tmpl w:val="AB2C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12B90"/>
    <w:multiLevelType w:val="multilevel"/>
    <w:tmpl w:val="C57C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66848"/>
    <w:multiLevelType w:val="multilevel"/>
    <w:tmpl w:val="998C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F61DB"/>
    <w:multiLevelType w:val="multilevel"/>
    <w:tmpl w:val="B058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504963">
    <w:abstractNumId w:val="7"/>
  </w:num>
  <w:num w:numId="2" w16cid:durableId="1807432753">
    <w:abstractNumId w:val="6"/>
  </w:num>
  <w:num w:numId="3" w16cid:durableId="27264046">
    <w:abstractNumId w:val="0"/>
  </w:num>
  <w:num w:numId="4" w16cid:durableId="1551259786">
    <w:abstractNumId w:val="1"/>
  </w:num>
  <w:num w:numId="5" w16cid:durableId="1363894184">
    <w:abstractNumId w:val="2"/>
  </w:num>
  <w:num w:numId="6" w16cid:durableId="1513106398">
    <w:abstractNumId w:val="3"/>
  </w:num>
  <w:num w:numId="7" w16cid:durableId="421608126">
    <w:abstractNumId w:val="5"/>
  </w:num>
  <w:num w:numId="8" w16cid:durableId="540285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6F"/>
    <w:rsid w:val="00007EDA"/>
    <w:rsid w:val="000712D4"/>
    <w:rsid w:val="001B03EB"/>
    <w:rsid w:val="002625E9"/>
    <w:rsid w:val="00267D68"/>
    <w:rsid w:val="003C16ED"/>
    <w:rsid w:val="00421E6F"/>
    <w:rsid w:val="00480019"/>
    <w:rsid w:val="004F6828"/>
    <w:rsid w:val="00623365"/>
    <w:rsid w:val="00661AC2"/>
    <w:rsid w:val="00691C0B"/>
    <w:rsid w:val="007926A7"/>
    <w:rsid w:val="007D71D3"/>
    <w:rsid w:val="00816908"/>
    <w:rsid w:val="008629F3"/>
    <w:rsid w:val="0086695F"/>
    <w:rsid w:val="00975E77"/>
    <w:rsid w:val="009C0AEF"/>
    <w:rsid w:val="009E67C5"/>
    <w:rsid w:val="00BB7AFB"/>
    <w:rsid w:val="00DB54EA"/>
    <w:rsid w:val="00DE02D4"/>
    <w:rsid w:val="00DF27DF"/>
    <w:rsid w:val="00F3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0E2989"/>
  <w15:chartTrackingRefBased/>
  <w15:docId w15:val="{3552F540-4FAF-479C-A449-A916734E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1 Char Char Char Char,Footnote Text Char1 Char Char Char,Footnote Text Char1 Char Char"/>
    <w:basedOn w:val="Normal"/>
    <w:link w:val="FootnoteTextChar"/>
    <w:uiPriority w:val="99"/>
    <w:unhideWhenUsed/>
    <w:qFormat/>
    <w:rsid w:val="00792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6A7"/>
    <w:rPr>
      <w:sz w:val="20"/>
      <w:szCs w:val="20"/>
    </w:rPr>
  </w:style>
  <w:style w:type="character" w:styleId="FootnoteReference">
    <w:name w:val="footnote reference"/>
    <w:aliases w:val="Footnote Reference*"/>
    <w:basedOn w:val="DefaultParagraphFont"/>
    <w:uiPriority w:val="99"/>
    <w:unhideWhenUsed/>
    <w:rsid w:val="007926A7"/>
    <w:rPr>
      <w:vertAlign w:val="superscript"/>
    </w:rPr>
  </w:style>
  <w:style w:type="character" w:customStyle="1" w:styleId="FootnoteTextChar2">
    <w:name w:val="Footnote Text Char2"/>
    <w:aliases w:val="Footnote Text Char1 Char Char Char Char Char1,Footnote Text Char1 Char Char Char Char2,Footnote Text Char1 Char Char Char2"/>
    <w:uiPriority w:val="99"/>
    <w:rsid w:val="003C16ED"/>
    <w:rPr>
      <w:rFonts w:cs="B Lotus Ar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845B-A491-4D80-A14A-1EC54DE0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mahdi</cp:lastModifiedBy>
  <cp:revision>16</cp:revision>
  <dcterms:created xsi:type="dcterms:W3CDTF">2025-11-11T13:12:00Z</dcterms:created>
  <dcterms:modified xsi:type="dcterms:W3CDTF">2025-11-12T08:19:00Z</dcterms:modified>
</cp:coreProperties>
</file>