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F8" w:rsidRDefault="00494F39" w:rsidP="009B0BCC">
      <w:pPr>
        <w:bidi/>
        <w:rPr>
          <w:sz w:val="48"/>
          <w:szCs w:val="48"/>
          <w:rtl/>
          <w:lang w:bidi="fa-IR"/>
        </w:rPr>
      </w:pPr>
      <w:r w:rsidRPr="00A10B73">
        <w:rPr>
          <w:rFonts w:hint="cs"/>
          <w:sz w:val="48"/>
          <w:szCs w:val="48"/>
          <w:highlight w:val="yellow"/>
          <w:rtl/>
          <w:lang w:bidi="fa-IR"/>
        </w:rPr>
        <w:t>3شنبه 6/9/1403-24جمادی الاولی1446-26نوامبر 2024-درس 47</w:t>
      </w:r>
      <w:r w:rsidR="00EC01F8" w:rsidRPr="00A10B73">
        <w:rPr>
          <w:rFonts w:hint="cs"/>
          <w:sz w:val="48"/>
          <w:szCs w:val="48"/>
          <w:highlight w:val="yellow"/>
          <w:rtl/>
          <w:lang w:bidi="fa-IR"/>
        </w:rPr>
        <w:t xml:space="preserve"> فقه القیاده (فقه رهبری سازمانی ) </w:t>
      </w:r>
      <w:r w:rsidR="00EC01F8" w:rsidRPr="00A10B73">
        <w:rPr>
          <w:sz w:val="48"/>
          <w:szCs w:val="48"/>
          <w:highlight w:val="yellow"/>
          <w:rtl/>
          <w:lang w:bidi="fa-IR"/>
        </w:rPr>
        <w:t>–</w:t>
      </w:r>
      <w:r w:rsidR="00EC01F8" w:rsidRPr="00A10B73">
        <w:rPr>
          <w:rFonts w:hint="cs"/>
          <w:sz w:val="48"/>
          <w:szCs w:val="48"/>
          <w:highlight w:val="yellow"/>
          <w:rtl/>
          <w:lang w:bidi="fa-IR"/>
        </w:rPr>
        <w:t xml:space="preserve">ارکان قیادت </w:t>
      </w:r>
      <w:r w:rsidR="00EC01F8" w:rsidRPr="00A10B73">
        <w:rPr>
          <w:sz w:val="48"/>
          <w:szCs w:val="48"/>
          <w:highlight w:val="yellow"/>
          <w:rtl/>
          <w:lang w:bidi="fa-IR"/>
        </w:rPr>
        <w:t>–</w:t>
      </w:r>
      <w:r w:rsidR="00EC01F8" w:rsidRPr="00A10B73">
        <w:rPr>
          <w:rFonts w:hint="cs"/>
          <w:sz w:val="48"/>
          <w:szCs w:val="48"/>
          <w:highlight w:val="yellow"/>
          <w:rtl/>
          <w:lang w:bidi="fa-IR"/>
        </w:rPr>
        <w:t xml:space="preserve"> نفوذ وهدایت </w:t>
      </w:r>
      <w:r w:rsidR="00EC01F8" w:rsidRPr="00A10B73">
        <w:rPr>
          <w:sz w:val="48"/>
          <w:szCs w:val="48"/>
          <w:highlight w:val="yellow"/>
          <w:rtl/>
          <w:lang w:bidi="fa-IR"/>
        </w:rPr>
        <w:t>–</w:t>
      </w:r>
      <w:r w:rsidR="00EC01F8" w:rsidRPr="00A10B73">
        <w:rPr>
          <w:rFonts w:hint="cs"/>
          <w:sz w:val="48"/>
          <w:szCs w:val="48"/>
          <w:highlight w:val="yellow"/>
          <w:rtl/>
          <w:lang w:bidi="fa-IR"/>
        </w:rPr>
        <w:t xml:space="preserve"> احکام هدایت </w:t>
      </w:r>
      <w:r w:rsidR="00EC01F8" w:rsidRPr="00A10B73">
        <w:rPr>
          <w:sz w:val="48"/>
          <w:szCs w:val="48"/>
          <w:highlight w:val="yellow"/>
          <w:rtl/>
          <w:lang w:bidi="fa-IR"/>
        </w:rPr>
        <w:t>–</w:t>
      </w:r>
      <w:r w:rsidR="00EC01F8" w:rsidRPr="00A10B73">
        <w:rPr>
          <w:rFonts w:hint="cs"/>
          <w:sz w:val="48"/>
          <w:szCs w:val="48"/>
          <w:highlight w:val="yellow"/>
          <w:rtl/>
          <w:lang w:bidi="fa-IR"/>
        </w:rPr>
        <w:t xml:space="preserve"> یقین شرط کمال هدایت </w:t>
      </w:r>
      <w:r w:rsidR="00EC01F8" w:rsidRPr="00A10B73">
        <w:rPr>
          <w:sz w:val="48"/>
          <w:szCs w:val="48"/>
          <w:highlight w:val="yellow"/>
          <w:rtl/>
          <w:lang w:bidi="fa-IR"/>
        </w:rPr>
        <w:t>–</w:t>
      </w:r>
      <w:r w:rsidR="00EC01F8" w:rsidRPr="00A10B73">
        <w:rPr>
          <w:rFonts w:hint="cs"/>
          <w:sz w:val="48"/>
          <w:szCs w:val="48"/>
          <w:highlight w:val="yellow"/>
          <w:rtl/>
          <w:lang w:bidi="fa-IR"/>
        </w:rPr>
        <w:t xml:space="preserve"> یقین اجمالی کارمند مهتدی </w:t>
      </w:r>
      <w:r w:rsidR="00EC01F8" w:rsidRPr="00A10B73">
        <w:rPr>
          <w:sz w:val="48"/>
          <w:szCs w:val="48"/>
          <w:highlight w:val="yellow"/>
          <w:rtl/>
          <w:lang w:bidi="fa-IR"/>
        </w:rPr>
        <w:t>–</w:t>
      </w:r>
      <w:r w:rsidR="009B0BCC" w:rsidRPr="00A10B73">
        <w:rPr>
          <w:rFonts w:hint="cs"/>
          <w:sz w:val="48"/>
          <w:szCs w:val="48"/>
          <w:highlight w:val="yellow"/>
          <w:rtl/>
          <w:lang w:bidi="fa-IR"/>
        </w:rPr>
        <w:t>شبه کثیر در کثیر</w:t>
      </w:r>
    </w:p>
    <w:p w:rsidR="009B0BCC" w:rsidRPr="0032704B" w:rsidRDefault="00EC01F8" w:rsidP="0032704B">
      <w:pPr>
        <w:bidi/>
        <w:rPr>
          <w:color w:val="FF0000"/>
          <w:sz w:val="48"/>
          <w:szCs w:val="48"/>
          <w:rtl/>
          <w:lang w:bidi="fa-IR"/>
        </w:rPr>
      </w:pPr>
      <w:r w:rsidRPr="0032704B">
        <w:rPr>
          <w:rFonts w:hint="cs"/>
          <w:color w:val="FF0000"/>
          <w:sz w:val="48"/>
          <w:szCs w:val="48"/>
          <w:rtl/>
          <w:lang w:bidi="fa-IR"/>
        </w:rPr>
        <w:t>مساله 3</w:t>
      </w:r>
      <w:r w:rsidR="00D31734" w:rsidRPr="0032704B">
        <w:rPr>
          <w:rFonts w:hint="cs"/>
          <w:color w:val="FF0000"/>
          <w:sz w:val="48"/>
          <w:szCs w:val="48"/>
          <w:rtl/>
          <w:lang w:bidi="fa-IR"/>
        </w:rPr>
        <w:t>8</w:t>
      </w:r>
      <w:r w:rsidRPr="0032704B">
        <w:rPr>
          <w:rFonts w:hint="cs"/>
          <w:color w:val="FF0000"/>
          <w:sz w:val="48"/>
          <w:szCs w:val="48"/>
          <w:rtl/>
          <w:lang w:bidi="fa-IR"/>
        </w:rPr>
        <w:t>:</w:t>
      </w:r>
      <w:r w:rsidRPr="0032704B">
        <w:rPr>
          <w:color w:val="FF0000"/>
          <w:sz w:val="48"/>
          <w:szCs w:val="48"/>
          <w:rtl/>
          <w:lang w:bidi="fa-IR"/>
        </w:rPr>
        <w:t xml:space="preserve"> </w:t>
      </w:r>
      <w:r w:rsidR="0032704B" w:rsidRPr="0032704B">
        <w:rPr>
          <w:rFonts w:hint="cs"/>
          <w:color w:val="FF0000"/>
          <w:sz w:val="48"/>
          <w:szCs w:val="48"/>
          <w:rtl/>
          <w:lang w:bidi="fa-IR"/>
        </w:rPr>
        <w:t>اگریقین به وجود ده در صد موسسات خدمات شهری نامطلوب محسوب  و ممنوع در بین همه این نوع موسسات ،وجود دارد و لی معلوم نباشد به طور مشخص کدامند برون سپاری خدمات به کلیه موسسات جایز نیست.</w:t>
      </w:r>
      <w:bookmarkStart w:id="0" w:name="_GoBack"/>
      <w:bookmarkEnd w:id="0"/>
    </w:p>
    <w:p w:rsidR="009B0BCC" w:rsidRDefault="009B0BCC" w:rsidP="009B0BCC">
      <w:pPr>
        <w:bidi/>
        <w:rPr>
          <w:sz w:val="48"/>
          <w:szCs w:val="48"/>
          <w:rtl/>
          <w:lang w:bidi="fa-IR"/>
        </w:rPr>
      </w:pPr>
      <w:r>
        <w:rPr>
          <w:rFonts w:hint="cs"/>
          <w:sz w:val="48"/>
          <w:szCs w:val="48"/>
          <w:rtl/>
          <w:lang w:bidi="fa-IR"/>
        </w:rPr>
        <w:t>البته شبهه کثیر در کثیر</w:t>
      </w:r>
      <w:r>
        <w:rPr>
          <w:rStyle w:val="FootnoteReference"/>
          <w:sz w:val="48"/>
          <w:szCs w:val="48"/>
          <w:rtl/>
          <w:lang w:bidi="fa-IR"/>
        </w:rPr>
        <w:footnoteReference w:id="1"/>
      </w:r>
      <w:r>
        <w:rPr>
          <w:rFonts w:hint="cs"/>
          <w:sz w:val="48"/>
          <w:szCs w:val="48"/>
          <w:rtl/>
          <w:lang w:bidi="fa-IR"/>
        </w:rPr>
        <w:t xml:space="preserve"> از شبهه غیر محصوره نیست بلکه از شبهه محصوره است مانند اینکه اطراف شبهه هزار تا باشد که یقین اجمالی داریم که صد تا نجس است مشهور به اجتناب از هر هزار تا رای داده اند چون نسبت بین صد وهزار نسبت قابل توجهی است و علم اجمال</w:t>
      </w:r>
      <w:r w:rsidR="00A10B73">
        <w:rPr>
          <w:rFonts w:hint="cs"/>
          <w:sz w:val="48"/>
          <w:szCs w:val="48"/>
          <w:rtl/>
          <w:lang w:bidi="fa-IR"/>
        </w:rPr>
        <w:t>ی</w:t>
      </w:r>
      <w:r>
        <w:rPr>
          <w:rFonts w:hint="cs"/>
          <w:sz w:val="48"/>
          <w:szCs w:val="48"/>
          <w:rtl/>
          <w:lang w:bidi="fa-IR"/>
        </w:rPr>
        <w:t xml:space="preserve"> منجز است و  مکلف را وامیدارد که که از هر هزار تا اجتناب کند  در مانحن فیه هم همینطور است که مثلا تمامی آژانس ها ترابری یا مسافربری باید بایکوت شوند و به هیچ کدام ارجاع نشود </w:t>
      </w:r>
      <w:r>
        <w:rPr>
          <w:rFonts w:hint="cs"/>
          <w:sz w:val="48"/>
          <w:szCs w:val="48"/>
          <w:rtl/>
          <w:lang w:bidi="fa-IR"/>
        </w:rPr>
        <w:lastRenderedPageBreak/>
        <w:t xml:space="preserve">اگر یقین داشته باشیم که ده درصد اطراف شبهه ممنوع المعامله هستند مثلا به دلیل وابستگی به بیگانه . </w:t>
      </w:r>
    </w:p>
    <w:p w:rsidR="009B0BCC" w:rsidRDefault="009B0BCC" w:rsidP="009B0BCC">
      <w:pPr>
        <w:bidi/>
        <w:rPr>
          <w:sz w:val="48"/>
          <w:szCs w:val="48"/>
          <w:rtl/>
          <w:lang w:bidi="fa-IR"/>
        </w:rPr>
      </w:pPr>
      <w:r>
        <w:rPr>
          <w:rFonts w:hint="cs"/>
          <w:sz w:val="48"/>
          <w:szCs w:val="48"/>
          <w:rtl/>
          <w:lang w:bidi="fa-IR"/>
        </w:rPr>
        <w:t>یا برای برون سپاری تغذیه کارکنان اگر ده درصد رستورانهای شهر غذای شبهه ناک تهیه میکنند یا مشکل گوشت دارند یا متهم به رباخواری و عدم رعایت بهداشت هستند و... در این جا باید به تغذیه داخل سازمان اکتفا کرد و سیستم طباخی را فعال کرد و برون سپاری را کلا تعطیل نمود تا کارکنان تغذیه سالم داشته باشند وسازمان از کمال هدایت و تعالی نیفتد زیرا یقین شرط کمال هدایت است وقتی با چنین اجمالی قرین میشود و شبهه کثیر در کثیر</w:t>
      </w:r>
      <w:r w:rsidR="00A10B73">
        <w:rPr>
          <w:rFonts w:hint="cs"/>
          <w:sz w:val="48"/>
          <w:szCs w:val="48"/>
          <w:rtl/>
          <w:lang w:bidi="fa-IR"/>
        </w:rPr>
        <w:t>،</w:t>
      </w:r>
      <w:r>
        <w:rPr>
          <w:rFonts w:hint="cs"/>
          <w:sz w:val="48"/>
          <w:szCs w:val="48"/>
          <w:rtl/>
          <w:lang w:bidi="fa-IR"/>
        </w:rPr>
        <w:t xml:space="preserve"> لازم است که به تکلیفی که  یقین اجمالی  بر دوش میگذارد عمل کنیم یعنی لزوم اجتناب از برون سپاری تغذیه کارکنان به رستورانهای  شهر  و مثالهای فراوان دیگری که میتوان زد.</w:t>
      </w:r>
    </w:p>
    <w:p w:rsidR="00A10B73" w:rsidRPr="00ED2C70" w:rsidRDefault="00A10B73" w:rsidP="0032704B">
      <w:pPr>
        <w:bidi/>
        <w:rPr>
          <w:sz w:val="48"/>
          <w:szCs w:val="48"/>
          <w:rtl/>
          <w:lang w:bidi="fa-IR"/>
        </w:rPr>
      </w:pPr>
      <w:r>
        <w:rPr>
          <w:rFonts w:hint="cs"/>
          <w:sz w:val="48"/>
          <w:szCs w:val="48"/>
          <w:rtl/>
          <w:lang w:bidi="fa-IR"/>
        </w:rPr>
        <w:t xml:space="preserve">فتحصل:اگریقین به وجود ده در صد موسسات خدمات شهری نامطلوب محسوب  و ممنوع در بین همه این نوع موسسات ،وجود دارد و لی معلوم نباشد به طور مشخص کدامند </w:t>
      </w:r>
      <w:r w:rsidR="0032704B">
        <w:rPr>
          <w:rFonts w:hint="cs"/>
          <w:sz w:val="48"/>
          <w:szCs w:val="48"/>
          <w:rtl/>
          <w:lang w:bidi="fa-IR"/>
        </w:rPr>
        <w:t>برون سپاری خدمات به کلیه موسسات جایز نیست.</w:t>
      </w:r>
    </w:p>
    <w:p w:rsidR="009B0BCC" w:rsidRDefault="009B0BCC" w:rsidP="009B0BCC">
      <w:pPr>
        <w:bidi/>
        <w:rPr>
          <w:sz w:val="48"/>
          <w:szCs w:val="48"/>
          <w:rtl/>
          <w:lang w:bidi="fa-IR"/>
        </w:rPr>
      </w:pPr>
    </w:p>
    <w:p w:rsidR="00744C8A" w:rsidRDefault="00744C8A"/>
    <w:sectPr w:rsidR="00744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A1" w:rsidRDefault="00287BA1" w:rsidP="00EC01F8">
      <w:pPr>
        <w:spacing w:after="0" w:line="240" w:lineRule="auto"/>
      </w:pPr>
      <w:r>
        <w:separator/>
      </w:r>
    </w:p>
  </w:endnote>
  <w:endnote w:type="continuationSeparator" w:id="0">
    <w:p w:rsidR="00287BA1" w:rsidRDefault="00287BA1" w:rsidP="00EC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A1" w:rsidRDefault="00287BA1" w:rsidP="00EC01F8">
      <w:pPr>
        <w:spacing w:after="0" w:line="240" w:lineRule="auto"/>
      </w:pPr>
      <w:r>
        <w:separator/>
      </w:r>
    </w:p>
  </w:footnote>
  <w:footnote w:type="continuationSeparator" w:id="0">
    <w:p w:rsidR="00287BA1" w:rsidRDefault="00287BA1" w:rsidP="00EC01F8">
      <w:pPr>
        <w:spacing w:after="0" w:line="240" w:lineRule="auto"/>
      </w:pPr>
      <w:r>
        <w:continuationSeparator/>
      </w:r>
    </w:p>
  </w:footnote>
  <w:footnote w:id="1">
    <w:p w:rsidR="009B0BCC" w:rsidRPr="00C571AE" w:rsidRDefault="009B0BCC" w:rsidP="009B0BCC">
      <w:pPr>
        <w:shd w:val="clear" w:color="auto" w:fill="FFFFFF"/>
        <w:bidi/>
        <w:spacing w:before="48" w:after="250" w:line="240" w:lineRule="auto"/>
        <w:rPr>
          <w:rFonts w:ascii="vazir" w:eastAsia="Times New Roman" w:hAnsi="vazir" w:cs="Times New Roman"/>
          <w:sz w:val="25"/>
          <w:szCs w:val="25"/>
        </w:rPr>
      </w:pPr>
      <w:r>
        <w:rPr>
          <w:rStyle w:val="FootnoteReference"/>
        </w:rPr>
        <w:footnoteRef/>
      </w:r>
      <w:r>
        <w:t xml:space="preserve"> </w:t>
      </w:r>
      <w:hyperlink r:id="rId1" w:tgtFrame="_blank" w:tooltip="شبهه کثیر در کثیر" w:history="1">
        <w:r w:rsidRPr="002B23E6">
          <w:rPr>
            <w:rFonts w:ascii="vazir" w:eastAsia="Times New Roman" w:hAnsi="vazir" w:cs="Times New Roman"/>
            <w:sz w:val="25"/>
            <w:szCs w:val="25"/>
            <w:rtl/>
          </w:rPr>
          <w:t>شبهه کثیر در کثیر</w:t>
        </w:r>
      </w:hyperlink>
      <w:r w:rsidRPr="00ED2C70">
        <w:rPr>
          <w:rFonts w:ascii="vazir" w:eastAsia="Times New Roman" w:hAnsi="vazir" w:cs="Times New Roman"/>
          <w:sz w:val="25"/>
          <w:szCs w:val="25"/>
        </w:rPr>
        <w:t> »</w:t>
      </w:r>
      <w:r w:rsidRPr="00ED2C70">
        <w:rPr>
          <w:rFonts w:ascii="vazir" w:eastAsia="Times New Roman" w:hAnsi="vazir" w:cs="Times New Roman"/>
          <w:sz w:val="25"/>
          <w:szCs w:val="25"/>
          <w:rtl/>
        </w:rPr>
        <w:t>، از بحث شبهه غیر محصوره جدا است و حکم شبهه محصوره را دارد، مثل این که اطراف شبهه، هزار تا باشد که از میان این هزار تا به اجمال معلوم باشد که صد تا نجس است، در این صورت، باید از همه هزار تا اجتناب کرد، چون نسبت بین صد و هزار، نسبت قابل توجهی است</w:t>
      </w:r>
      <w:r w:rsidRPr="00ED2C70">
        <w:rPr>
          <w:rFonts w:ascii="vazir" w:eastAsia="Times New Roman" w:hAnsi="vazir" w:cs="Times New Roman"/>
          <w:sz w:val="25"/>
          <w:szCs w:val="25"/>
        </w:rPr>
        <w:t>. </w:t>
      </w:r>
    </w:p>
    <w:p w:rsidR="009B0BCC" w:rsidRPr="002B23E6" w:rsidRDefault="00287BA1" w:rsidP="009B0BCC">
      <w:pPr>
        <w:pStyle w:val="FootnoteText"/>
        <w:bidi/>
        <w:rPr>
          <w:rtl/>
          <w:lang w:bidi="fa-IR"/>
        </w:rPr>
      </w:pPr>
      <w:hyperlink r:id="rId2" w:tgtFrame="_blank" w:tooltip="فرهنگ نامه اصول فقه، تدوین توسط مرکز اطلاعات و مدارک اسلامی، برگرفته از مقاله " w:history="1">
        <w:r w:rsidR="009B0BCC" w:rsidRPr="002B23E6">
          <w:rPr>
            <w:rFonts w:ascii="vazir" w:eastAsia="Times New Roman" w:hAnsi="vazir" w:cs="Times New Roman"/>
            <w:sz w:val="25"/>
            <w:szCs w:val="25"/>
            <w:shd w:val="clear" w:color="auto" w:fill="FFFFFF"/>
            <w:rtl/>
          </w:rPr>
          <w:t>فرهنگ نامه اصول فقه، تدوین توسط مرکز اطلاعات و مدارک اسلامی، برگرفته از مقاله « شبهه غیر محصوره</w:t>
        </w:r>
        <w:r w:rsidR="009B0BCC" w:rsidRPr="002B23E6">
          <w:rPr>
            <w:rFonts w:ascii="vazir" w:eastAsia="Times New Roman" w:hAnsi="vazir" w:cs="Times New Roman"/>
            <w:sz w:val="25"/>
            <w:szCs w:val="25"/>
            <w:shd w:val="clear" w:color="auto" w:fill="FFFFFF"/>
          </w:rPr>
          <w:t>».</w:t>
        </w:r>
      </w:hyperlink>
      <w:r w:rsidR="009B0BCC" w:rsidRPr="002B23E6">
        <w:rPr>
          <w:rFonts w:ascii="vazir" w:eastAsia="Times New Roman" w:hAnsi="vazir" w:cs="Times New Roman"/>
          <w:sz w:val="25"/>
          <w:szCs w:val="25"/>
          <w:shd w:val="clear" w:color="auto" w:fill="FFFFFF"/>
        </w:rPr>
        <w:t>    </w:t>
      </w:r>
      <w:r w:rsidR="009B0BCC" w:rsidRPr="002B23E6">
        <w:rPr>
          <w:rFonts w:ascii="vazir" w:eastAsia="Times New Roman" w:hAnsi="vazir" w:cs="Times New Roman"/>
          <w:sz w:val="25"/>
          <w:szCs w:val="25"/>
        </w:rPr>
        <w:br/>
      </w:r>
    </w:p>
    <w:p w:rsidR="009B0BCC" w:rsidRDefault="009B0BCC" w:rsidP="009B0BCC">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3878"/>
    <w:multiLevelType w:val="multilevel"/>
    <w:tmpl w:val="27CC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074B9"/>
    <w:multiLevelType w:val="multilevel"/>
    <w:tmpl w:val="432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F8"/>
    <w:rsid w:val="00013B20"/>
    <w:rsid w:val="00287BA1"/>
    <w:rsid w:val="0032704B"/>
    <w:rsid w:val="00494F39"/>
    <w:rsid w:val="00577619"/>
    <w:rsid w:val="00744C8A"/>
    <w:rsid w:val="00936BB9"/>
    <w:rsid w:val="009B0BCC"/>
    <w:rsid w:val="00A10B73"/>
    <w:rsid w:val="00A834A2"/>
    <w:rsid w:val="00CE5202"/>
    <w:rsid w:val="00D31734"/>
    <w:rsid w:val="00EC0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D4DB"/>
  <w15:chartTrackingRefBased/>
  <w15:docId w15:val="{666BC555-75B3-449B-8EEB-58CA2E2A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1F8"/>
    <w:rPr>
      <w:sz w:val="20"/>
      <w:szCs w:val="20"/>
    </w:rPr>
  </w:style>
  <w:style w:type="character" w:styleId="FootnoteReference">
    <w:name w:val="footnote reference"/>
    <w:basedOn w:val="DefaultParagraphFont"/>
    <w:uiPriority w:val="99"/>
    <w:semiHidden/>
    <w:unhideWhenUsed/>
    <w:rsid w:val="00EC01F8"/>
    <w:rPr>
      <w:vertAlign w:val="superscript"/>
    </w:rPr>
  </w:style>
  <w:style w:type="paragraph" w:styleId="NormalWeb">
    <w:name w:val="Normal (Web)"/>
    <w:basedOn w:val="Normal"/>
    <w:uiPriority w:val="99"/>
    <w:semiHidden/>
    <w:unhideWhenUsed/>
    <w:rsid w:val="00EC01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71601/1/502/%D8%B4%D8%A8%D9%87%D9%87_%D8%BA%DB%8C%D8%B1_%D9%85%D8%AD%D8%B5%D9%88%D8%B1%D9%87" TargetMode="External"/><Relationship Id="rId1" Type="http://schemas.openxmlformats.org/officeDocument/2006/relationships/hyperlink" Target="https://fa.wikifeqh.ir/%D8%B4%D8%A8%D9%87%D9%87_%DA%A9%D8%AB%DB%8C%D8%B1_%D8%AF%D8%B1_%DA%A9%D8%AB%DB%8C%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5A72-A384-4081-A06E-8EA6DA3C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2024-11-23T21:37:00Z</dcterms:created>
  <dcterms:modified xsi:type="dcterms:W3CDTF">2024-11-26T02:05:00Z</dcterms:modified>
</cp:coreProperties>
</file>